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2689F" w14:textId="19411836" w:rsidR="001E2731" w:rsidRDefault="00DA24FB" w:rsidP="00096CDC">
      <w:pPr>
        <w:widowControl/>
        <w:shd w:val="clear" w:color="auto" w:fill="FFFFFF"/>
        <w:spacing w:after="210"/>
        <w:jc w:val="center"/>
        <w:outlineLvl w:val="0"/>
        <w:rPr>
          <w:rFonts w:ascii="Microsoft YaHei UI" w:eastAsia="Microsoft YaHei UI" w:hAnsi="Microsoft YaHei UI" w:cs="宋体"/>
          <w:spacing w:val="8"/>
          <w:kern w:val="0"/>
          <w:sz w:val="26"/>
          <w:szCs w:val="26"/>
        </w:rPr>
      </w:pPr>
      <w:r>
        <w:rPr>
          <w:rFonts w:ascii="Microsoft YaHei UI" w:eastAsia="Microsoft YaHei UI" w:hAnsi="Microsoft YaHei UI" w:cs="宋体" w:hint="eastAsia"/>
          <w:spacing w:val="8"/>
          <w:kern w:val="36"/>
          <w:sz w:val="33"/>
          <w:szCs w:val="33"/>
        </w:rPr>
        <w:t>科研动态｜我院</w:t>
      </w:r>
      <w:r w:rsidR="005968A1" w:rsidRPr="005968A1">
        <w:rPr>
          <w:rFonts w:ascii="Microsoft YaHei UI" w:eastAsia="Microsoft YaHei UI" w:hAnsi="Microsoft YaHei UI" w:cs="宋体" w:hint="eastAsia"/>
          <w:spacing w:val="8"/>
          <w:kern w:val="36"/>
          <w:sz w:val="33"/>
          <w:szCs w:val="33"/>
        </w:rPr>
        <w:t>杨柏儒</w:t>
      </w:r>
      <w:r w:rsidR="00EC12E4">
        <w:rPr>
          <w:rFonts w:ascii="Microsoft YaHei UI" w:eastAsia="Microsoft YaHei UI" w:hAnsi="Microsoft YaHei UI" w:cs="宋体" w:hint="eastAsia"/>
          <w:spacing w:val="8"/>
          <w:kern w:val="36"/>
          <w:sz w:val="33"/>
          <w:szCs w:val="33"/>
        </w:rPr>
        <w:t>教授</w:t>
      </w:r>
      <w:r w:rsidR="005968A1" w:rsidRPr="005968A1">
        <w:rPr>
          <w:rFonts w:ascii="Microsoft YaHei UI" w:eastAsia="Microsoft YaHei UI" w:hAnsi="Microsoft YaHei UI" w:cs="宋体" w:hint="eastAsia"/>
          <w:spacing w:val="8"/>
          <w:kern w:val="36"/>
          <w:sz w:val="33"/>
          <w:szCs w:val="33"/>
        </w:rPr>
        <w:t>团队在</w:t>
      </w:r>
      <w:bookmarkStart w:id="0" w:name="_Hlk175555658"/>
      <w:r w:rsidR="005968A1">
        <w:rPr>
          <w:rFonts w:ascii="Microsoft YaHei UI" w:eastAsia="Microsoft YaHei UI" w:hAnsi="Microsoft YaHei UI" w:cs="宋体" w:hint="eastAsia"/>
          <w:spacing w:val="8"/>
          <w:kern w:val="36"/>
          <w:sz w:val="33"/>
          <w:szCs w:val="33"/>
        </w:rPr>
        <w:t>量子点复合荧光电子纸</w:t>
      </w:r>
      <w:r w:rsidR="005968A1" w:rsidRPr="005968A1">
        <w:rPr>
          <w:rFonts w:ascii="Microsoft YaHei UI" w:eastAsia="Microsoft YaHei UI" w:hAnsi="Microsoft YaHei UI" w:cs="宋体" w:hint="eastAsia"/>
          <w:spacing w:val="8"/>
          <w:kern w:val="36"/>
          <w:sz w:val="33"/>
          <w:szCs w:val="33"/>
        </w:rPr>
        <w:t>研究</w:t>
      </w:r>
      <w:r w:rsidR="00EC12E4">
        <w:rPr>
          <w:rFonts w:ascii="Microsoft YaHei UI" w:eastAsia="Microsoft YaHei UI" w:hAnsi="Microsoft YaHei UI" w:cs="宋体" w:hint="eastAsia"/>
          <w:spacing w:val="8"/>
          <w:kern w:val="36"/>
          <w:sz w:val="33"/>
          <w:szCs w:val="33"/>
        </w:rPr>
        <w:t>取得新成果</w:t>
      </w:r>
      <w:bookmarkEnd w:id="0"/>
    </w:p>
    <w:p w14:paraId="13346ABD" w14:textId="6961183C" w:rsidR="001E2731" w:rsidRDefault="00000000">
      <w:pPr>
        <w:widowControl/>
        <w:shd w:val="clear" w:color="auto" w:fill="FFFFFF"/>
        <w:ind w:leftChars="-1" w:left="-2" w:right="120" w:firstLineChars="200" w:firstLine="464"/>
        <w:rPr>
          <w:rFonts w:ascii="宋体" w:eastAsia="宋体" w:hAnsi="宋体" w:cs="宋体"/>
          <w:color w:val="000000"/>
          <w:spacing w:val="1"/>
          <w:kern w:val="0"/>
          <w:sz w:val="23"/>
          <w:szCs w:val="23"/>
        </w:rPr>
      </w:pPr>
      <w:r>
        <w:rPr>
          <w:rFonts w:ascii="宋体" w:eastAsia="宋体" w:hAnsi="宋体" w:cs="宋体"/>
          <w:color w:val="000000"/>
          <w:spacing w:val="1"/>
          <w:kern w:val="0"/>
          <w:sz w:val="23"/>
          <w:szCs w:val="23"/>
        </w:rPr>
        <w:t>传统的光学防伪技术</w:t>
      </w:r>
      <w:r>
        <w:rPr>
          <w:rFonts w:ascii="宋体" w:eastAsia="宋体" w:hAnsi="宋体" w:cs="宋体" w:hint="eastAsia"/>
          <w:color w:val="000000"/>
          <w:spacing w:val="1"/>
          <w:kern w:val="0"/>
          <w:sz w:val="23"/>
          <w:szCs w:val="23"/>
        </w:rPr>
        <w:t>大多</w:t>
      </w:r>
      <w:r>
        <w:rPr>
          <w:rFonts w:ascii="宋体" w:eastAsia="宋体" w:hAnsi="宋体" w:cs="宋体"/>
          <w:color w:val="000000"/>
          <w:spacing w:val="1"/>
          <w:kern w:val="0"/>
          <w:sz w:val="23"/>
          <w:szCs w:val="23"/>
        </w:rPr>
        <w:t>依赖于静态印刷图像，安全性较低，因此需要开发具有动态调制</w:t>
      </w:r>
      <w:r>
        <w:rPr>
          <w:rFonts w:ascii="宋体" w:eastAsia="宋体" w:hAnsi="宋体" w:cs="宋体" w:hint="eastAsia"/>
          <w:color w:val="000000"/>
          <w:spacing w:val="1"/>
          <w:kern w:val="0"/>
          <w:sz w:val="23"/>
          <w:szCs w:val="23"/>
        </w:rPr>
        <w:t>图案</w:t>
      </w:r>
      <w:r>
        <w:rPr>
          <w:rFonts w:ascii="宋体" w:eastAsia="宋体" w:hAnsi="宋体" w:cs="宋体"/>
          <w:color w:val="000000"/>
          <w:spacing w:val="1"/>
          <w:kern w:val="0"/>
          <w:sz w:val="23"/>
          <w:szCs w:val="23"/>
        </w:rPr>
        <w:t>功能的新型防伪设备。近日，</w:t>
      </w:r>
      <w:r w:rsidR="00096CDC">
        <w:rPr>
          <w:rFonts w:ascii="宋体" w:eastAsia="宋体" w:hAnsi="宋体" w:cs="宋体" w:hint="eastAsia"/>
          <w:color w:val="000000"/>
          <w:spacing w:val="1"/>
          <w:kern w:val="0"/>
          <w:sz w:val="23"/>
          <w:szCs w:val="23"/>
        </w:rPr>
        <w:t>中山大学</w:t>
      </w:r>
      <w:r>
        <w:rPr>
          <w:rFonts w:ascii="宋体" w:eastAsia="宋体" w:hAnsi="宋体" w:cs="宋体"/>
          <w:color w:val="000000"/>
          <w:spacing w:val="1"/>
          <w:kern w:val="0"/>
          <w:sz w:val="23"/>
          <w:szCs w:val="23"/>
        </w:rPr>
        <w:t>杨柏儒教授团队开发出了一种新型荧光电泳显示（EPD）技术。该团队通过在</w:t>
      </w:r>
      <w:r>
        <w:rPr>
          <w:rFonts w:ascii="宋体" w:eastAsia="宋体" w:hAnsi="宋体" w:cs="宋体" w:hint="eastAsia"/>
          <w:color w:val="000000"/>
          <w:spacing w:val="1"/>
          <w:kern w:val="0"/>
          <w:sz w:val="23"/>
          <w:szCs w:val="23"/>
        </w:rPr>
        <w:t>传统的电泳粒子</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上</w:t>
      </w:r>
      <w:r>
        <w:rPr>
          <w:rFonts w:ascii="宋体" w:eastAsia="宋体" w:hAnsi="宋体" w:cs="宋体" w:hint="eastAsia"/>
          <w:color w:val="000000"/>
          <w:spacing w:val="1"/>
          <w:kern w:val="0"/>
          <w:sz w:val="23"/>
          <w:szCs w:val="23"/>
        </w:rPr>
        <w:t>复合</w:t>
      </w:r>
      <w:r>
        <w:rPr>
          <w:rFonts w:ascii="宋体" w:eastAsia="宋体" w:hAnsi="宋体" w:cs="宋体"/>
          <w:color w:val="000000"/>
          <w:spacing w:val="1"/>
          <w:kern w:val="0"/>
          <w:sz w:val="23"/>
          <w:szCs w:val="23"/>
        </w:rPr>
        <w:t>钙钛矿量子点(</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color w:val="000000"/>
          <w:spacing w:val="1"/>
          <w:kern w:val="0"/>
          <w:sz w:val="23"/>
          <w:szCs w:val="23"/>
        </w:rPr>
        <w:t>)，制备了具备荧光特性的电泳粒子，并</w:t>
      </w:r>
      <w:r>
        <w:rPr>
          <w:rFonts w:ascii="宋体" w:eastAsia="宋体" w:hAnsi="宋体" w:cs="宋体" w:hint="eastAsia"/>
          <w:color w:val="000000"/>
          <w:spacing w:val="1"/>
          <w:kern w:val="0"/>
          <w:sz w:val="23"/>
          <w:szCs w:val="23"/>
        </w:rPr>
        <w:t>进一步</w:t>
      </w:r>
      <w:r>
        <w:rPr>
          <w:rFonts w:ascii="宋体" w:eastAsia="宋体" w:hAnsi="宋体" w:cs="宋体"/>
          <w:color w:val="000000"/>
          <w:spacing w:val="1"/>
          <w:kern w:val="0"/>
          <w:sz w:val="23"/>
          <w:szCs w:val="23"/>
        </w:rPr>
        <w:t>研制了一种多功能防伪</w:t>
      </w:r>
      <w:r>
        <w:rPr>
          <w:rFonts w:ascii="宋体" w:eastAsia="宋体" w:hAnsi="宋体" w:cs="宋体" w:hint="eastAsia"/>
          <w:color w:val="000000"/>
          <w:spacing w:val="1"/>
          <w:kern w:val="0"/>
          <w:sz w:val="23"/>
          <w:szCs w:val="23"/>
        </w:rPr>
        <w:t>器件</w:t>
      </w:r>
      <w:r>
        <w:rPr>
          <w:rFonts w:ascii="宋体" w:eastAsia="宋体" w:hAnsi="宋体" w:cs="宋体"/>
          <w:color w:val="000000"/>
          <w:spacing w:val="1"/>
          <w:kern w:val="0"/>
          <w:sz w:val="23"/>
          <w:szCs w:val="23"/>
        </w:rPr>
        <w:t>。该</w:t>
      </w:r>
      <w:r>
        <w:rPr>
          <w:rFonts w:ascii="宋体" w:eastAsia="宋体" w:hAnsi="宋体" w:cs="宋体" w:hint="eastAsia"/>
          <w:color w:val="000000"/>
          <w:spacing w:val="1"/>
          <w:kern w:val="0"/>
          <w:sz w:val="23"/>
          <w:szCs w:val="23"/>
        </w:rPr>
        <w:t>器件不仅</w:t>
      </w:r>
      <w:r>
        <w:rPr>
          <w:rFonts w:ascii="宋体" w:eastAsia="宋体" w:hAnsi="宋体" w:cs="宋体"/>
          <w:color w:val="000000"/>
          <w:spacing w:val="1"/>
          <w:kern w:val="0"/>
          <w:sz w:val="23"/>
          <w:szCs w:val="23"/>
        </w:rPr>
        <w:t>响应</w:t>
      </w:r>
      <w:r>
        <w:rPr>
          <w:rFonts w:ascii="宋体" w:eastAsia="宋体" w:hAnsi="宋体" w:cs="宋体" w:hint="eastAsia"/>
          <w:color w:val="000000"/>
          <w:spacing w:val="1"/>
          <w:kern w:val="0"/>
          <w:sz w:val="23"/>
          <w:szCs w:val="23"/>
        </w:rPr>
        <w:t>快速</w:t>
      </w:r>
      <w:r>
        <w:rPr>
          <w:rFonts w:ascii="宋体" w:eastAsia="宋体" w:hAnsi="宋体" w:cs="宋体"/>
          <w:color w:val="000000"/>
          <w:spacing w:val="1"/>
          <w:kern w:val="0"/>
          <w:sz w:val="23"/>
          <w:szCs w:val="23"/>
        </w:rPr>
        <w:t>、对比度</w:t>
      </w:r>
      <w:r>
        <w:rPr>
          <w:rFonts w:ascii="宋体" w:eastAsia="宋体" w:hAnsi="宋体" w:cs="宋体" w:hint="eastAsia"/>
          <w:color w:val="000000"/>
          <w:spacing w:val="1"/>
          <w:kern w:val="0"/>
          <w:sz w:val="23"/>
          <w:szCs w:val="23"/>
        </w:rPr>
        <w:t>高，而且能够呈现</w:t>
      </w:r>
      <w:r>
        <w:rPr>
          <w:rFonts w:ascii="宋体" w:eastAsia="宋体" w:hAnsi="宋体" w:cs="宋体"/>
          <w:color w:val="000000"/>
          <w:spacing w:val="1"/>
          <w:kern w:val="0"/>
          <w:sz w:val="23"/>
          <w:szCs w:val="23"/>
        </w:rPr>
        <w:t>明亮的绿色荧光，为未来的动态防伪和识别提供了新思路。这项研究成果</w:t>
      </w:r>
      <w:r>
        <w:rPr>
          <w:rFonts w:ascii="宋体" w:eastAsia="宋体" w:hAnsi="宋体" w:cs="宋体" w:hint="eastAsia"/>
          <w:color w:val="000000"/>
          <w:spacing w:val="1"/>
          <w:kern w:val="0"/>
          <w:sz w:val="23"/>
          <w:szCs w:val="23"/>
        </w:rPr>
        <w:t>以题为“</w:t>
      </w:r>
      <w:r>
        <w:rPr>
          <w:rFonts w:ascii="宋体" w:eastAsia="宋体" w:hAnsi="宋体" w:cs="宋体"/>
          <w:b/>
          <w:bCs/>
          <w:i/>
          <w:iCs/>
          <w:color w:val="000000"/>
          <w:spacing w:val="1"/>
          <w:kern w:val="0"/>
          <w:sz w:val="23"/>
          <w:szCs w:val="23"/>
        </w:rPr>
        <w:t>Fluorescent, multifunctional anti-counterfeiting, fast response electrophoretic display based on TiO2/CsPbBr3 composite particles</w:t>
      </w:r>
      <w:r>
        <w:rPr>
          <w:rFonts w:ascii="宋体" w:eastAsia="宋体" w:hAnsi="宋体" w:cs="宋体" w:hint="eastAsia"/>
          <w:color w:val="000000"/>
          <w:spacing w:val="1"/>
          <w:kern w:val="0"/>
          <w:sz w:val="23"/>
          <w:szCs w:val="23"/>
        </w:rPr>
        <w:t>”</w:t>
      </w:r>
      <w:r>
        <w:rPr>
          <w:rFonts w:ascii="宋体" w:eastAsia="宋体" w:hAnsi="宋体" w:cs="宋体"/>
          <w:color w:val="000000"/>
          <w:spacing w:val="1"/>
          <w:kern w:val="0"/>
          <w:sz w:val="23"/>
          <w:szCs w:val="23"/>
        </w:rPr>
        <w:t>发表在</w:t>
      </w:r>
      <w:r>
        <w:rPr>
          <w:rFonts w:ascii="宋体" w:eastAsia="宋体" w:hAnsi="宋体" w:cs="宋体"/>
          <w:b/>
          <w:bCs/>
          <w:i/>
          <w:iCs/>
          <w:color w:val="FF0000"/>
          <w:spacing w:val="1"/>
          <w:kern w:val="0"/>
          <w:sz w:val="23"/>
          <w:szCs w:val="23"/>
          <w:shd w:val="clear" w:color="auto" w:fill="FFFFFF"/>
        </w:rPr>
        <w:t>《Light: Science &amp; Applications》</w:t>
      </w:r>
      <w:r>
        <w:rPr>
          <w:rFonts w:ascii="宋体" w:eastAsia="宋体" w:hAnsi="宋体" w:cs="宋体"/>
          <w:color w:val="000000"/>
          <w:spacing w:val="1"/>
          <w:kern w:val="0"/>
          <w:sz w:val="23"/>
          <w:szCs w:val="23"/>
        </w:rPr>
        <w:t>期刊上</w:t>
      </w:r>
      <w:r>
        <w:rPr>
          <w:rFonts w:ascii="宋体" w:eastAsia="宋体" w:hAnsi="宋体" w:cs="宋体" w:hint="eastAsia"/>
          <w:color w:val="000000"/>
          <w:spacing w:val="1"/>
          <w:kern w:val="0"/>
          <w:sz w:val="23"/>
          <w:szCs w:val="23"/>
        </w:rPr>
        <w:t>，杨柏儒教授为通讯作者，博士生刘广友为第一作者。</w:t>
      </w:r>
      <w:r>
        <w:rPr>
          <w:rFonts w:ascii="宋体" w:eastAsia="宋体" w:hAnsi="宋体" w:cs="宋体"/>
          <w:color w:val="000000"/>
          <w:spacing w:val="1"/>
          <w:kern w:val="0"/>
          <w:sz w:val="23"/>
          <w:szCs w:val="23"/>
        </w:rPr>
        <w:t>此项研究得到了国家重点研发计划、科技部项目、广东省重点地区研发计划等项目的支持。</w:t>
      </w:r>
    </w:p>
    <w:p w14:paraId="5CEF995E" w14:textId="77777777" w:rsidR="001E2731" w:rsidRDefault="001E2731">
      <w:pPr>
        <w:widowControl/>
        <w:shd w:val="clear" w:color="auto" w:fill="FFFFFF"/>
        <w:ind w:left="120" w:right="120"/>
        <w:rPr>
          <w:rFonts w:ascii="宋体" w:eastAsia="宋体" w:hAnsi="宋体" w:cs="宋体"/>
          <w:color w:val="000000"/>
          <w:spacing w:val="1"/>
          <w:kern w:val="0"/>
          <w:sz w:val="23"/>
          <w:szCs w:val="23"/>
        </w:rPr>
      </w:pPr>
    </w:p>
    <w:p w14:paraId="6EDB9AA4" w14:textId="77777777" w:rsidR="001E2731" w:rsidRDefault="00000000">
      <w:pPr>
        <w:widowControl/>
        <w:shd w:val="clear" w:color="auto" w:fill="FFFFFF"/>
        <w:ind w:left="120" w:right="120"/>
        <w:rPr>
          <w:rFonts w:ascii="宋体" w:eastAsia="宋体" w:hAnsi="宋体" w:cs="宋体"/>
          <w:color w:val="000000"/>
          <w:spacing w:val="1"/>
          <w:kern w:val="0"/>
          <w:sz w:val="23"/>
          <w:szCs w:val="23"/>
        </w:rPr>
      </w:pPr>
      <w:r>
        <w:rPr>
          <w:noProof/>
        </w:rPr>
        <w:drawing>
          <wp:inline distT="0" distB="0" distL="0" distR="0" wp14:anchorId="175FDD01" wp14:editId="53AE38F1">
            <wp:extent cx="5161280" cy="2833370"/>
            <wp:effectExtent l="0" t="0" r="1270" b="5080"/>
            <wp:docPr id="1401043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43422"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r="2138" b="10883"/>
                    <a:stretch>
                      <a:fillRect/>
                    </a:stretch>
                  </pic:blipFill>
                  <pic:spPr>
                    <a:xfrm>
                      <a:off x="0" y="0"/>
                      <a:ext cx="5161548" cy="2833437"/>
                    </a:xfrm>
                    <a:prstGeom prst="rect">
                      <a:avLst/>
                    </a:prstGeom>
                    <a:noFill/>
                    <a:ln>
                      <a:noFill/>
                    </a:ln>
                  </pic:spPr>
                </pic:pic>
              </a:graphicData>
            </a:graphic>
          </wp:inline>
        </w:drawing>
      </w:r>
    </w:p>
    <w:p w14:paraId="79C86A34" w14:textId="77777777" w:rsidR="001E2731" w:rsidRDefault="00000000">
      <w:pPr>
        <w:widowControl/>
        <w:shd w:val="clear" w:color="auto" w:fill="FFFFFF"/>
        <w:ind w:right="120"/>
        <w:jc w:val="center"/>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图1荧光电泳显示器的制备及其在多功能防伪器件上的应用</w:t>
      </w:r>
    </w:p>
    <w:p w14:paraId="189F4AFF" w14:textId="77777777" w:rsidR="001E2731" w:rsidRDefault="00000000">
      <w:pPr>
        <w:widowControl/>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 xml:space="preserve"> </w:t>
      </w:r>
    </w:p>
    <w:p w14:paraId="320CE716" w14:textId="77777777" w:rsidR="001E2731" w:rsidRDefault="00000000">
      <w:pPr>
        <w:widowControl/>
        <w:ind w:firstLineChars="200" w:firstLine="464"/>
        <w:rPr>
          <w:rFonts w:ascii="宋体" w:eastAsia="宋体" w:hAnsi="宋体" w:cs="宋体"/>
          <w:color w:val="000000"/>
          <w:spacing w:val="1"/>
          <w:kern w:val="0"/>
          <w:sz w:val="23"/>
          <w:szCs w:val="23"/>
        </w:rPr>
      </w:pPr>
      <w:r>
        <w:rPr>
          <w:rFonts w:ascii="宋体" w:eastAsia="宋体" w:hAnsi="宋体" w:cs="宋体"/>
          <w:color w:val="000000"/>
          <w:spacing w:val="1"/>
          <w:kern w:val="0"/>
          <w:sz w:val="23"/>
          <w:szCs w:val="23"/>
        </w:rPr>
        <w:t>防伪技术在防止假冒产品和保护机密信息方面至关重要，广泛应用于产品标签、护照、机密文件等领域。光学防伪设备具有显示性能好、使用便捷和响应速度快等优点，</w:t>
      </w:r>
      <w:r>
        <w:rPr>
          <w:rFonts w:ascii="宋体" w:eastAsia="宋体" w:hAnsi="宋体" w:cs="宋体" w:hint="eastAsia"/>
          <w:color w:val="000000"/>
          <w:spacing w:val="1"/>
          <w:kern w:val="0"/>
          <w:sz w:val="23"/>
          <w:szCs w:val="23"/>
        </w:rPr>
        <w:t>但</w:t>
      </w:r>
      <w:r>
        <w:rPr>
          <w:rFonts w:ascii="宋体" w:eastAsia="宋体" w:hAnsi="宋体" w:cs="宋体"/>
          <w:color w:val="000000"/>
          <w:spacing w:val="1"/>
          <w:kern w:val="0"/>
          <w:sz w:val="23"/>
          <w:szCs w:val="23"/>
        </w:rPr>
        <w:t>单一功能的防伪技术</w:t>
      </w:r>
      <w:r>
        <w:rPr>
          <w:rFonts w:ascii="宋体" w:eastAsia="宋体" w:hAnsi="宋体" w:cs="宋体" w:hint="eastAsia"/>
          <w:color w:val="000000"/>
          <w:spacing w:val="1"/>
          <w:kern w:val="0"/>
          <w:sz w:val="23"/>
          <w:szCs w:val="23"/>
        </w:rPr>
        <w:t>存在</w:t>
      </w:r>
      <w:r>
        <w:rPr>
          <w:rFonts w:ascii="宋体" w:eastAsia="宋体" w:hAnsi="宋体" w:cs="宋体"/>
          <w:color w:val="000000"/>
          <w:spacing w:val="1"/>
          <w:kern w:val="0"/>
          <w:sz w:val="23"/>
          <w:szCs w:val="23"/>
        </w:rPr>
        <w:t>容易被复制</w:t>
      </w:r>
      <w:r>
        <w:rPr>
          <w:rFonts w:ascii="宋体" w:eastAsia="宋体" w:hAnsi="宋体" w:cs="宋体" w:hint="eastAsia"/>
          <w:color w:val="000000"/>
          <w:spacing w:val="1"/>
          <w:kern w:val="0"/>
          <w:sz w:val="23"/>
          <w:szCs w:val="23"/>
        </w:rPr>
        <w:t>且</w:t>
      </w:r>
      <w:r>
        <w:rPr>
          <w:rFonts w:ascii="宋体" w:eastAsia="宋体" w:hAnsi="宋体" w:cs="宋体"/>
          <w:color w:val="000000"/>
          <w:spacing w:val="1"/>
          <w:kern w:val="0"/>
          <w:sz w:val="23"/>
          <w:szCs w:val="23"/>
        </w:rPr>
        <w:t>安全性不够</w:t>
      </w:r>
      <w:r>
        <w:rPr>
          <w:rFonts w:ascii="宋体" w:eastAsia="宋体" w:hAnsi="宋体" w:cs="宋体" w:hint="eastAsia"/>
          <w:color w:val="000000"/>
          <w:spacing w:val="1"/>
          <w:kern w:val="0"/>
          <w:sz w:val="23"/>
          <w:szCs w:val="23"/>
        </w:rPr>
        <w:t>的问题</w:t>
      </w:r>
      <w:r>
        <w:rPr>
          <w:rFonts w:ascii="宋体" w:eastAsia="宋体" w:hAnsi="宋体" w:cs="宋体"/>
          <w:color w:val="000000"/>
          <w:spacing w:val="1"/>
          <w:kern w:val="0"/>
          <w:sz w:val="23"/>
          <w:szCs w:val="23"/>
        </w:rPr>
        <w:t>。因此，需开发具备动态显示功能的防伪设备。电泳显示</w:t>
      </w:r>
      <w:r>
        <w:rPr>
          <w:rFonts w:ascii="宋体" w:eastAsia="宋体" w:hAnsi="宋体" w:cs="宋体" w:hint="eastAsia"/>
          <w:color w:val="000000"/>
          <w:spacing w:val="1"/>
          <w:kern w:val="0"/>
          <w:sz w:val="23"/>
          <w:szCs w:val="23"/>
        </w:rPr>
        <w:t>器件</w:t>
      </w:r>
      <w:r>
        <w:rPr>
          <w:rFonts w:ascii="宋体" w:eastAsia="宋体" w:hAnsi="宋体" w:cs="宋体"/>
          <w:color w:val="000000"/>
          <w:spacing w:val="1"/>
          <w:kern w:val="0"/>
          <w:sz w:val="23"/>
          <w:szCs w:val="23"/>
        </w:rPr>
        <w:t>（EPD）因其低功耗、动态图像切换和高环境对比度</w:t>
      </w:r>
      <w:r>
        <w:rPr>
          <w:rFonts w:ascii="宋体" w:eastAsia="宋体" w:hAnsi="宋体" w:cs="宋体" w:hint="eastAsia"/>
          <w:color w:val="000000"/>
          <w:spacing w:val="1"/>
          <w:kern w:val="0"/>
          <w:sz w:val="23"/>
          <w:szCs w:val="23"/>
        </w:rPr>
        <w:t>等</w:t>
      </w:r>
      <w:r>
        <w:rPr>
          <w:rFonts w:ascii="宋体" w:eastAsia="宋体" w:hAnsi="宋体" w:cs="宋体"/>
          <w:color w:val="000000"/>
          <w:spacing w:val="1"/>
          <w:kern w:val="0"/>
          <w:sz w:val="23"/>
          <w:szCs w:val="23"/>
        </w:rPr>
        <w:t>优势，成为动态防伪技术的理想选择。然而，目前商用EPD设备</w:t>
      </w:r>
      <w:r>
        <w:rPr>
          <w:rFonts w:ascii="宋体" w:eastAsia="宋体" w:hAnsi="宋体" w:cs="宋体" w:hint="eastAsia"/>
          <w:color w:val="000000"/>
          <w:spacing w:val="1"/>
          <w:kern w:val="0"/>
          <w:sz w:val="23"/>
          <w:szCs w:val="23"/>
        </w:rPr>
        <w:t>大多</w:t>
      </w:r>
      <w:r>
        <w:rPr>
          <w:rFonts w:ascii="宋体" w:eastAsia="宋体" w:hAnsi="宋体" w:cs="宋体"/>
          <w:color w:val="000000"/>
          <w:spacing w:val="1"/>
          <w:kern w:val="0"/>
          <w:sz w:val="23"/>
          <w:szCs w:val="23"/>
        </w:rPr>
        <w:t>仅在可见光条件下工作，显示性能依赖于光源强度，限制了其在黑暗环境和非可见光条件下的应用。荧光电泳显示技术则能</w:t>
      </w:r>
      <w:r>
        <w:rPr>
          <w:rFonts w:ascii="宋体" w:eastAsia="宋体" w:hAnsi="宋体" w:cs="宋体" w:hint="eastAsia"/>
          <w:color w:val="000000"/>
          <w:spacing w:val="1"/>
          <w:kern w:val="0"/>
          <w:sz w:val="23"/>
          <w:szCs w:val="23"/>
        </w:rPr>
        <w:t>使EPD</w:t>
      </w:r>
      <w:r>
        <w:rPr>
          <w:rFonts w:ascii="宋体" w:eastAsia="宋体" w:hAnsi="宋体" w:cs="宋体"/>
          <w:color w:val="000000"/>
          <w:spacing w:val="1"/>
          <w:kern w:val="0"/>
          <w:sz w:val="23"/>
          <w:szCs w:val="23"/>
        </w:rPr>
        <w:t>在紫外光下</w:t>
      </w:r>
      <w:r>
        <w:rPr>
          <w:rFonts w:ascii="宋体" w:eastAsia="宋体" w:hAnsi="宋体" w:cs="宋体" w:hint="eastAsia"/>
          <w:color w:val="000000"/>
          <w:spacing w:val="1"/>
          <w:kern w:val="0"/>
          <w:sz w:val="23"/>
          <w:szCs w:val="23"/>
        </w:rPr>
        <w:t>正常工作</w:t>
      </w:r>
      <w:r>
        <w:rPr>
          <w:rFonts w:ascii="宋体" w:eastAsia="宋体" w:hAnsi="宋体" w:cs="宋体"/>
          <w:color w:val="000000"/>
          <w:spacing w:val="1"/>
          <w:kern w:val="0"/>
          <w:sz w:val="23"/>
          <w:szCs w:val="23"/>
        </w:rPr>
        <w:t>，拓展了传统EPD在</w:t>
      </w:r>
      <w:r>
        <w:rPr>
          <w:rFonts w:ascii="宋体" w:eastAsia="宋体" w:hAnsi="宋体" w:cs="宋体" w:hint="eastAsia"/>
          <w:color w:val="000000"/>
          <w:spacing w:val="1"/>
          <w:kern w:val="0"/>
          <w:sz w:val="23"/>
          <w:szCs w:val="23"/>
        </w:rPr>
        <w:t>紫外光</w:t>
      </w:r>
      <w:r>
        <w:rPr>
          <w:rFonts w:ascii="宋体" w:eastAsia="宋体" w:hAnsi="宋体" w:cs="宋体"/>
          <w:color w:val="000000"/>
          <w:spacing w:val="1"/>
          <w:kern w:val="0"/>
          <w:sz w:val="23"/>
          <w:szCs w:val="23"/>
        </w:rPr>
        <w:t>场景中的应用可能。</w:t>
      </w:r>
      <w:r>
        <w:rPr>
          <w:rFonts w:ascii="宋体" w:eastAsia="宋体" w:hAnsi="宋体" w:cs="宋体" w:hint="eastAsia"/>
          <w:color w:val="000000"/>
          <w:spacing w:val="1"/>
          <w:kern w:val="0"/>
          <w:sz w:val="23"/>
          <w:szCs w:val="23"/>
        </w:rPr>
        <w:t>同时，</w:t>
      </w:r>
      <w:r>
        <w:rPr>
          <w:rFonts w:ascii="宋体" w:eastAsia="宋体" w:hAnsi="宋体" w:cs="宋体"/>
          <w:color w:val="000000"/>
          <w:spacing w:val="1"/>
          <w:kern w:val="0"/>
          <w:sz w:val="23"/>
          <w:szCs w:val="23"/>
        </w:rPr>
        <w:t>通过结合反射和发射</w:t>
      </w:r>
      <w:r>
        <w:rPr>
          <w:rFonts w:ascii="宋体" w:eastAsia="宋体" w:hAnsi="宋体" w:cs="宋体" w:hint="eastAsia"/>
          <w:color w:val="000000"/>
          <w:spacing w:val="1"/>
          <w:kern w:val="0"/>
          <w:sz w:val="23"/>
          <w:szCs w:val="23"/>
        </w:rPr>
        <w:t>的双显示</w:t>
      </w:r>
      <w:r>
        <w:rPr>
          <w:rFonts w:ascii="宋体" w:eastAsia="宋体" w:hAnsi="宋体" w:cs="宋体"/>
          <w:color w:val="000000"/>
          <w:spacing w:val="1"/>
          <w:kern w:val="0"/>
          <w:sz w:val="23"/>
          <w:szCs w:val="23"/>
        </w:rPr>
        <w:t>模式，</w:t>
      </w:r>
      <w:r>
        <w:rPr>
          <w:rFonts w:ascii="宋体" w:eastAsia="宋体" w:hAnsi="宋体" w:cs="宋体" w:hint="eastAsia"/>
          <w:color w:val="000000"/>
          <w:spacing w:val="1"/>
          <w:kern w:val="0"/>
          <w:sz w:val="23"/>
          <w:szCs w:val="23"/>
        </w:rPr>
        <w:t>可以</w:t>
      </w:r>
      <w:r>
        <w:rPr>
          <w:rFonts w:ascii="宋体" w:eastAsia="宋体" w:hAnsi="宋体" w:cs="宋体"/>
          <w:color w:val="000000"/>
          <w:spacing w:val="1"/>
          <w:kern w:val="0"/>
          <w:sz w:val="23"/>
          <w:szCs w:val="23"/>
        </w:rPr>
        <w:t>实现多模式</w:t>
      </w:r>
      <w:r>
        <w:rPr>
          <w:rFonts w:ascii="宋体" w:eastAsia="宋体" w:hAnsi="宋体" w:cs="宋体" w:hint="eastAsia"/>
          <w:color w:val="000000"/>
          <w:spacing w:val="1"/>
          <w:kern w:val="0"/>
          <w:sz w:val="23"/>
          <w:szCs w:val="23"/>
        </w:rPr>
        <w:t>的</w:t>
      </w:r>
      <w:r>
        <w:rPr>
          <w:rFonts w:ascii="宋体" w:eastAsia="宋体" w:hAnsi="宋体" w:cs="宋体"/>
          <w:color w:val="000000"/>
          <w:spacing w:val="1"/>
          <w:kern w:val="0"/>
          <w:sz w:val="23"/>
          <w:szCs w:val="23"/>
        </w:rPr>
        <w:t>动态</w:t>
      </w:r>
      <w:r>
        <w:rPr>
          <w:rFonts w:ascii="宋体" w:eastAsia="宋体" w:hAnsi="宋体" w:cs="宋体" w:hint="eastAsia"/>
          <w:color w:val="000000"/>
          <w:spacing w:val="1"/>
          <w:kern w:val="0"/>
          <w:sz w:val="23"/>
          <w:szCs w:val="23"/>
        </w:rPr>
        <w:t>防伪应用。</w:t>
      </w:r>
    </w:p>
    <w:p w14:paraId="340A17A7" w14:textId="77777777" w:rsidR="001E2731" w:rsidRDefault="001E2731">
      <w:pPr>
        <w:widowControl/>
        <w:rPr>
          <w:rFonts w:ascii="宋体" w:eastAsia="宋体" w:hAnsi="宋体" w:cs="宋体"/>
          <w:color w:val="000000"/>
          <w:spacing w:val="1"/>
          <w:kern w:val="0"/>
          <w:sz w:val="23"/>
          <w:szCs w:val="23"/>
        </w:rPr>
      </w:pPr>
    </w:p>
    <w:p w14:paraId="023A2149" w14:textId="58F1AF32" w:rsidR="001E2731" w:rsidRDefault="00000000">
      <w:pPr>
        <w:rPr>
          <w:rFonts w:ascii="宋体" w:eastAsia="宋体" w:hAnsi="宋体" w:cs="宋体"/>
          <w:color w:val="000000"/>
          <w:spacing w:val="1"/>
          <w:kern w:val="0"/>
          <w:sz w:val="23"/>
          <w:szCs w:val="23"/>
        </w:rPr>
      </w:pPr>
      <w:r>
        <w:rPr>
          <w:rFonts w:ascii="Microsoft YaHei UI" w:eastAsia="Microsoft YaHei UI" w:hAnsi="Microsoft YaHei UI" w:cs="宋体" w:hint="eastAsia"/>
          <w:b/>
          <w:bCs/>
          <w:color w:val="0070CB"/>
          <w:spacing w:val="4"/>
          <w:kern w:val="0"/>
          <w:sz w:val="30"/>
          <w:szCs w:val="30"/>
          <w:shd w:val="clear" w:color="auto" w:fill="FFFFFF"/>
        </w:rPr>
        <w:t xml:space="preserve"> </w:t>
      </w:r>
      <w:r>
        <w:rPr>
          <w:rFonts w:ascii="Microsoft YaHei UI" w:eastAsia="Microsoft YaHei UI" w:hAnsi="Microsoft YaHei UI" w:cs="宋体"/>
          <w:b/>
          <w:bCs/>
          <w:color w:val="0070CB"/>
          <w:spacing w:val="4"/>
          <w:kern w:val="0"/>
          <w:sz w:val="30"/>
          <w:szCs w:val="30"/>
          <w:shd w:val="clear" w:color="auto" w:fill="FFFFFF"/>
        </w:rPr>
        <w:t xml:space="preserve">  </w:t>
      </w:r>
      <w:r>
        <w:rPr>
          <w:rFonts w:ascii="宋体" w:eastAsia="宋体" w:hAnsi="宋体" w:cs="宋体"/>
          <w:color w:val="000000"/>
          <w:spacing w:val="1"/>
          <w:kern w:val="0"/>
          <w:sz w:val="23"/>
          <w:szCs w:val="23"/>
        </w:rPr>
        <w:t>本研究中，</w:t>
      </w:r>
      <w:r>
        <w:rPr>
          <w:rFonts w:ascii="宋体" w:eastAsia="宋体" w:hAnsi="宋体" w:cs="宋体" w:hint="eastAsia"/>
          <w:color w:val="000000"/>
          <w:spacing w:val="1"/>
          <w:kern w:val="0"/>
          <w:sz w:val="23"/>
          <w:szCs w:val="23"/>
        </w:rPr>
        <w:t>研究团队</w:t>
      </w:r>
      <w:r>
        <w:rPr>
          <w:rFonts w:ascii="宋体" w:eastAsia="宋体" w:hAnsi="宋体" w:cs="宋体"/>
          <w:color w:val="000000"/>
          <w:spacing w:val="1"/>
          <w:kern w:val="0"/>
          <w:sz w:val="23"/>
          <w:szCs w:val="23"/>
        </w:rPr>
        <w:t>创新性地将</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hint="eastAsia"/>
          <w:color w:val="000000"/>
          <w:spacing w:val="1"/>
          <w:kern w:val="0"/>
          <w:sz w:val="23"/>
          <w:szCs w:val="23"/>
        </w:rPr>
        <w:t>复合</w:t>
      </w:r>
      <w:r>
        <w:rPr>
          <w:rFonts w:ascii="宋体" w:eastAsia="宋体" w:hAnsi="宋体" w:cs="宋体"/>
          <w:color w:val="000000"/>
          <w:spacing w:val="1"/>
          <w:kern w:val="0"/>
          <w:sz w:val="23"/>
          <w:szCs w:val="23"/>
        </w:rPr>
        <w:t>到</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电泳粒子上，制备出一种</w:t>
      </w:r>
      <w:r>
        <w:rPr>
          <w:rFonts w:ascii="宋体" w:eastAsia="宋体" w:hAnsi="宋体" w:cs="宋体"/>
          <w:color w:val="000000"/>
          <w:spacing w:val="1"/>
          <w:kern w:val="0"/>
          <w:sz w:val="23"/>
          <w:szCs w:val="23"/>
        </w:rPr>
        <w:lastRenderedPageBreak/>
        <w:t>在环境光下呈白色、在紫外光下呈绿色的荧光电泳粒子。通过与</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颗粒的结合，该复合粒子具备高电荷、白度和强荧光</w:t>
      </w:r>
      <w:r>
        <w:rPr>
          <w:rFonts w:ascii="宋体" w:eastAsia="宋体" w:hAnsi="宋体" w:cs="宋体" w:hint="eastAsia"/>
          <w:color w:val="000000"/>
          <w:spacing w:val="1"/>
          <w:kern w:val="0"/>
          <w:sz w:val="23"/>
          <w:szCs w:val="23"/>
        </w:rPr>
        <w:t>效果</w:t>
      </w:r>
      <w:r>
        <w:rPr>
          <w:rFonts w:ascii="宋体" w:eastAsia="宋体" w:hAnsi="宋体" w:cs="宋体"/>
          <w:color w:val="000000"/>
          <w:spacing w:val="1"/>
          <w:kern w:val="0"/>
          <w:sz w:val="23"/>
          <w:szCs w:val="23"/>
        </w:rPr>
        <w:t>，能够在电场作用下</w:t>
      </w:r>
      <w:r>
        <w:rPr>
          <w:rFonts w:ascii="宋体" w:eastAsia="宋体" w:hAnsi="宋体" w:cs="宋体" w:hint="eastAsia"/>
          <w:color w:val="000000"/>
          <w:spacing w:val="1"/>
          <w:kern w:val="0"/>
          <w:sz w:val="23"/>
          <w:szCs w:val="23"/>
        </w:rPr>
        <w:t>实现</w:t>
      </w:r>
      <w:r>
        <w:rPr>
          <w:rFonts w:ascii="宋体" w:eastAsia="宋体" w:hAnsi="宋体" w:cs="宋体"/>
          <w:color w:val="000000"/>
          <w:spacing w:val="1"/>
          <w:kern w:val="0"/>
          <w:sz w:val="23"/>
          <w:szCs w:val="23"/>
        </w:rPr>
        <w:t>快速</w:t>
      </w:r>
      <w:r>
        <w:rPr>
          <w:rFonts w:ascii="宋体" w:eastAsia="宋体" w:hAnsi="宋体" w:cs="宋体" w:hint="eastAsia"/>
          <w:color w:val="000000"/>
          <w:spacing w:val="1"/>
          <w:kern w:val="0"/>
          <w:sz w:val="23"/>
          <w:szCs w:val="23"/>
        </w:rPr>
        <w:t>响应</w:t>
      </w:r>
      <w:r>
        <w:rPr>
          <w:rFonts w:ascii="宋体" w:eastAsia="宋体" w:hAnsi="宋体" w:cs="宋体"/>
          <w:color w:val="000000"/>
          <w:spacing w:val="1"/>
          <w:kern w:val="0"/>
          <w:sz w:val="23"/>
          <w:szCs w:val="23"/>
        </w:rPr>
        <w:t>驱动。基于该材料，进一步开发出了一种荧光EPD</w:t>
      </w:r>
      <w:r>
        <w:rPr>
          <w:rFonts w:ascii="宋体" w:eastAsia="宋体" w:hAnsi="宋体" w:cs="宋体" w:hint="eastAsia"/>
          <w:color w:val="000000"/>
          <w:spacing w:val="1"/>
          <w:kern w:val="0"/>
          <w:sz w:val="23"/>
          <w:szCs w:val="23"/>
        </w:rPr>
        <w:t>器件</w:t>
      </w:r>
      <w:r>
        <w:rPr>
          <w:rFonts w:ascii="宋体" w:eastAsia="宋体" w:hAnsi="宋体" w:cs="宋体"/>
          <w:color w:val="000000"/>
          <w:spacing w:val="1"/>
          <w:kern w:val="0"/>
          <w:sz w:val="23"/>
          <w:szCs w:val="23"/>
        </w:rPr>
        <w:t>，</w:t>
      </w:r>
      <w:r>
        <w:rPr>
          <w:rFonts w:ascii="宋体" w:eastAsia="宋体" w:hAnsi="宋体" w:cs="宋体" w:hint="eastAsia"/>
          <w:color w:val="000000"/>
          <w:spacing w:val="1"/>
          <w:kern w:val="0"/>
          <w:sz w:val="23"/>
          <w:szCs w:val="23"/>
        </w:rPr>
        <w:t>该器件</w:t>
      </w:r>
      <w:r>
        <w:rPr>
          <w:rFonts w:ascii="宋体" w:eastAsia="宋体" w:hAnsi="宋体" w:cs="宋体"/>
          <w:color w:val="000000"/>
          <w:spacing w:val="1"/>
          <w:kern w:val="0"/>
          <w:sz w:val="23"/>
          <w:szCs w:val="23"/>
        </w:rPr>
        <w:t>具备350</w:t>
      </w:r>
      <w:r>
        <w:rPr>
          <w:rFonts w:ascii="宋体" w:eastAsia="宋体" w:hAnsi="宋体" w:cs="宋体" w:hint="eastAsia"/>
          <w:color w:val="000000"/>
          <w:spacing w:val="1"/>
          <w:kern w:val="0"/>
          <w:sz w:val="23"/>
          <w:szCs w:val="23"/>
        </w:rPr>
        <w:t xml:space="preserve"> </w:t>
      </w:r>
      <w:proofErr w:type="spellStart"/>
      <w:r>
        <w:rPr>
          <w:rFonts w:ascii="宋体" w:eastAsia="宋体" w:hAnsi="宋体" w:cs="宋体" w:hint="eastAsia"/>
          <w:color w:val="000000"/>
          <w:spacing w:val="1"/>
          <w:kern w:val="0"/>
          <w:sz w:val="23"/>
          <w:szCs w:val="23"/>
        </w:rPr>
        <w:t>m</w:t>
      </w:r>
      <w:r>
        <w:rPr>
          <w:rFonts w:ascii="宋体" w:eastAsia="宋体" w:hAnsi="宋体" w:cs="宋体"/>
          <w:color w:val="000000"/>
          <w:spacing w:val="1"/>
          <w:kern w:val="0"/>
          <w:sz w:val="23"/>
          <w:szCs w:val="23"/>
        </w:rPr>
        <w:t>s</w:t>
      </w:r>
      <w:proofErr w:type="spellEnd"/>
      <w:r>
        <w:rPr>
          <w:rFonts w:ascii="宋体" w:eastAsia="宋体" w:hAnsi="宋体" w:cs="宋体"/>
          <w:color w:val="000000"/>
          <w:spacing w:val="1"/>
          <w:kern w:val="0"/>
          <w:sz w:val="23"/>
          <w:szCs w:val="23"/>
        </w:rPr>
        <w:t>的</w:t>
      </w:r>
      <w:r>
        <w:rPr>
          <w:rFonts w:ascii="宋体" w:eastAsia="宋体" w:hAnsi="宋体" w:cs="宋体" w:hint="eastAsia"/>
          <w:color w:val="000000"/>
          <w:spacing w:val="1"/>
          <w:kern w:val="0"/>
          <w:sz w:val="23"/>
          <w:szCs w:val="23"/>
        </w:rPr>
        <w:t>快速</w:t>
      </w:r>
      <w:r>
        <w:rPr>
          <w:rFonts w:ascii="宋体" w:eastAsia="宋体" w:hAnsi="宋体" w:cs="宋体"/>
          <w:color w:val="000000"/>
          <w:spacing w:val="1"/>
          <w:kern w:val="0"/>
          <w:sz w:val="23"/>
          <w:szCs w:val="23"/>
        </w:rPr>
        <w:t>响应时间和17的高对比度。同时，该荧光EPD</w:t>
      </w:r>
      <w:r>
        <w:rPr>
          <w:rFonts w:ascii="宋体" w:eastAsia="宋体" w:hAnsi="宋体" w:cs="宋体" w:hint="eastAsia"/>
          <w:color w:val="000000"/>
          <w:spacing w:val="1"/>
          <w:kern w:val="0"/>
          <w:sz w:val="23"/>
          <w:szCs w:val="23"/>
        </w:rPr>
        <w:t>在</w:t>
      </w:r>
      <w:r>
        <w:rPr>
          <w:rFonts w:ascii="宋体" w:eastAsia="宋体" w:hAnsi="宋体" w:cs="宋体"/>
          <w:color w:val="000000"/>
          <w:spacing w:val="1"/>
          <w:kern w:val="0"/>
          <w:sz w:val="23"/>
          <w:szCs w:val="23"/>
        </w:rPr>
        <w:t>电场和紫外光的双模式</w:t>
      </w:r>
      <w:r>
        <w:rPr>
          <w:rFonts w:ascii="宋体" w:eastAsia="宋体" w:hAnsi="宋体" w:cs="宋体" w:hint="eastAsia"/>
          <w:color w:val="000000"/>
          <w:spacing w:val="1"/>
          <w:kern w:val="0"/>
          <w:sz w:val="23"/>
          <w:szCs w:val="23"/>
        </w:rPr>
        <w:t>驱动</w:t>
      </w:r>
      <w:r>
        <w:rPr>
          <w:rFonts w:ascii="宋体" w:eastAsia="宋体" w:hAnsi="宋体" w:cs="宋体"/>
          <w:color w:val="000000"/>
          <w:spacing w:val="1"/>
          <w:kern w:val="0"/>
          <w:sz w:val="23"/>
          <w:szCs w:val="23"/>
        </w:rPr>
        <w:t>，</w:t>
      </w:r>
      <w:r>
        <w:rPr>
          <w:rFonts w:ascii="宋体" w:eastAsia="宋体" w:hAnsi="宋体" w:cs="宋体" w:hint="eastAsia"/>
          <w:color w:val="000000"/>
          <w:spacing w:val="1"/>
          <w:kern w:val="0"/>
          <w:sz w:val="23"/>
          <w:szCs w:val="23"/>
        </w:rPr>
        <w:t>成功</w:t>
      </w:r>
      <w:r>
        <w:rPr>
          <w:rFonts w:ascii="宋体" w:eastAsia="宋体" w:hAnsi="宋体" w:cs="宋体"/>
          <w:color w:val="000000"/>
          <w:spacing w:val="1"/>
          <w:kern w:val="0"/>
          <w:sz w:val="23"/>
          <w:szCs w:val="23"/>
        </w:rPr>
        <w:t>实现了</w:t>
      </w:r>
      <w:r>
        <w:rPr>
          <w:rFonts w:ascii="宋体" w:eastAsia="宋体" w:hAnsi="宋体" w:cs="宋体" w:hint="eastAsia"/>
          <w:color w:val="000000"/>
          <w:spacing w:val="1"/>
          <w:kern w:val="0"/>
          <w:sz w:val="23"/>
          <w:szCs w:val="23"/>
        </w:rPr>
        <w:t>器件的</w:t>
      </w:r>
      <w:r>
        <w:rPr>
          <w:rFonts w:ascii="宋体" w:eastAsia="宋体" w:hAnsi="宋体" w:cs="宋体"/>
          <w:color w:val="000000"/>
          <w:spacing w:val="1"/>
          <w:kern w:val="0"/>
          <w:sz w:val="23"/>
          <w:szCs w:val="23"/>
        </w:rPr>
        <w:t>多功能防伪显示。</w:t>
      </w:r>
      <w:r>
        <w:rPr>
          <w:rFonts w:ascii="宋体" w:eastAsia="宋体" w:hAnsi="宋体" w:cs="宋体" w:hint="eastAsia"/>
          <w:color w:val="000000"/>
          <w:spacing w:val="1"/>
          <w:kern w:val="0"/>
          <w:sz w:val="23"/>
          <w:szCs w:val="23"/>
        </w:rPr>
        <w:t>荧光</w:t>
      </w:r>
      <w:r>
        <w:rPr>
          <w:rFonts w:ascii="宋体" w:eastAsia="宋体" w:hAnsi="宋体" w:cs="宋体"/>
          <w:color w:val="000000"/>
          <w:spacing w:val="1"/>
          <w:kern w:val="0"/>
          <w:sz w:val="23"/>
          <w:szCs w:val="23"/>
        </w:rPr>
        <w:t>EPD在可见光下可呈现黑白</w:t>
      </w:r>
      <w:r>
        <w:rPr>
          <w:rFonts w:ascii="宋体" w:eastAsia="宋体" w:hAnsi="宋体" w:cs="宋体" w:hint="eastAsia"/>
          <w:color w:val="000000"/>
          <w:spacing w:val="1"/>
          <w:kern w:val="0"/>
          <w:sz w:val="23"/>
          <w:szCs w:val="23"/>
        </w:rPr>
        <w:t>态切换</w:t>
      </w:r>
      <w:r>
        <w:rPr>
          <w:rFonts w:ascii="宋体" w:eastAsia="宋体" w:hAnsi="宋体" w:cs="宋体"/>
          <w:color w:val="000000"/>
          <w:spacing w:val="1"/>
          <w:kern w:val="0"/>
          <w:sz w:val="23"/>
          <w:szCs w:val="23"/>
        </w:rPr>
        <w:t>，而在紫外光照下可</w:t>
      </w:r>
      <w:r>
        <w:rPr>
          <w:rFonts w:ascii="宋体" w:eastAsia="宋体" w:hAnsi="宋体" w:cs="宋体" w:hint="eastAsia"/>
          <w:color w:val="000000"/>
          <w:spacing w:val="1"/>
          <w:kern w:val="0"/>
          <w:sz w:val="23"/>
          <w:szCs w:val="23"/>
        </w:rPr>
        <w:t>实现</w:t>
      </w:r>
      <w:r>
        <w:rPr>
          <w:rFonts w:ascii="宋体" w:eastAsia="宋体" w:hAnsi="宋体" w:cs="宋体"/>
          <w:color w:val="000000"/>
          <w:spacing w:val="1"/>
          <w:kern w:val="0"/>
          <w:sz w:val="23"/>
          <w:szCs w:val="23"/>
        </w:rPr>
        <w:t>绿色和白色态</w:t>
      </w:r>
      <w:r>
        <w:rPr>
          <w:rFonts w:ascii="宋体" w:eastAsia="宋体" w:hAnsi="宋体" w:cs="宋体" w:hint="eastAsia"/>
          <w:color w:val="000000"/>
          <w:spacing w:val="1"/>
          <w:kern w:val="0"/>
          <w:sz w:val="23"/>
          <w:szCs w:val="23"/>
        </w:rPr>
        <w:t>切换</w:t>
      </w:r>
      <w:r>
        <w:rPr>
          <w:rFonts w:ascii="宋体" w:eastAsia="宋体" w:hAnsi="宋体" w:cs="宋体"/>
          <w:color w:val="000000"/>
          <w:spacing w:val="1"/>
          <w:kern w:val="0"/>
          <w:sz w:val="23"/>
          <w:szCs w:val="23"/>
        </w:rPr>
        <w:t>，展现出优异的光学防伪性能。</w:t>
      </w:r>
      <w:r>
        <w:rPr>
          <w:rFonts w:ascii="宋体" w:eastAsia="宋体" w:hAnsi="宋体" w:cs="宋体" w:hint="eastAsia"/>
          <w:color w:val="000000"/>
          <w:spacing w:val="1"/>
          <w:kern w:val="0"/>
          <w:sz w:val="23"/>
          <w:szCs w:val="23"/>
        </w:rPr>
        <w:t>具体的工作内容和创新点如下：</w:t>
      </w:r>
    </w:p>
    <w:p w14:paraId="0B1BA92A" w14:textId="77777777" w:rsidR="001E2731" w:rsidRDefault="001E2731">
      <w:pPr>
        <w:rPr>
          <w:rFonts w:ascii="宋体" w:eastAsia="宋体" w:hAnsi="宋体" w:cs="宋体"/>
          <w:color w:val="000000"/>
          <w:spacing w:val="1"/>
          <w:kern w:val="0"/>
          <w:sz w:val="23"/>
          <w:szCs w:val="23"/>
        </w:rPr>
      </w:pPr>
    </w:p>
    <w:p w14:paraId="3F357A37" w14:textId="77777777" w:rsidR="001E2731" w:rsidRDefault="00000000">
      <w:pPr>
        <w:jc w:val="center"/>
        <w:rPr>
          <w:rFonts w:ascii="宋体" w:eastAsia="宋体" w:hAnsi="宋体" w:cs="宋体"/>
          <w:color w:val="000000"/>
          <w:spacing w:val="1"/>
          <w:kern w:val="0"/>
          <w:sz w:val="23"/>
          <w:szCs w:val="23"/>
        </w:rPr>
      </w:pPr>
      <w:r>
        <w:rPr>
          <w:rFonts w:ascii="宋体" w:eastAsia="宋体" w:hAnsi="宋体" w:cs="宋体" w:hint="eastAsia"/>
          <w:noProof/>
          <w:color w:val="000000"/>
          <w:spacing w:val="1"/>
          <w:kern w:val="0"/>
          <w:sz w:val="23"/>
          <w:szCs w:val="23"/>
        </w:rPr>
        <w:drawing>
          <wp:inline distT="0" distB="0" distL="0" distR="0" wp14:anchorId="5DCB5DA0" wp14:editId="5DD3A86D">
            <wp:extent cx="4679950" cy="3988435"/>
            <wp:effectExtent l="0" t="0" r="6350" b="0"/>
            <wp:docPr id="11301918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91817"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02209" cy="4007432"/>
                    </a:xfrm>
                    <a:prstGeom prst="rect">
                      <a:avLst/>
                    </a:prstGeom>
                    <a:noFill/>
                  </pic:spPr>
                </pic:pic>
              </a:graphicData>
            </a:graphic>
          </wp:inline>
        </w:drawing>
      </w:r>
    </w:p>
    <w:p w14:paraId="019E652B" w14:textId="77777777" w:rsidR="001E2731" w:rsidRDefault="00000000">
      <w:pPr>
        <w:widowControl/>
        <w:shd w:val="clear" w:color="auto" w:fill="FFFFFF"/>
        <w:ind w:right="120"/>
        <w:jc w:val="center"/>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图2. 荧光电泳显示器件的应用场景以及荧光电泳颗粒的制备示意图</w:t>
      </w:r>
    </w:p>
    <w:p w14:paraId="349BDAF8" w14:textId="77777777" w:rsidR="001E2731" w:rsidRDefault="001E2731">
      <w:pPr>
        <w:pStyle w:val="a9"/>
        <w:shd w:val="clear" w:color="auto" w:fill="FFFFFF"/>
        <w:spacing w:before="0" w:beforeAutospacing="0" w:after="0" w:afterAutospacing="0" w:line="360" w:lineRule="atLeast"/>
        <w:jc w:val="both"/>
        <w:rPr>
          <w:rFonts w:ascii="Microsoft YaHei UI" w:eastAsia="Microsoft YaHei UI" w:hAnsi="Microsoft YaHei UI"/>
          <w:spacing w:val="8"/>
          <w:sz w:val="26"/>
          <w:szCs w:val="26"/>
        </w:rPr>
      </w:pPr>
    </w:p>
    <w:p w14:paraId="5A2C2659" w14:textId="77777777" w:rsidR="001E2731" w:rsidRDefault="00000000">
      <w:pPr>
        <w:pStyle w:val="af0"/>
        <w:widowControl/>
        <w:numPr>
          <w:ilvl w:val="0"/>
          <w:numId w:val="1"/>
        </w:numPr>
        <w:ind w:firstLineChars="0"/>
        <w:rPr>
          <w:rFonts w:ascii="宋体" w:eastAsia="宋体" w:hAnsi="宋体" w:cs="宋体"/>
          <w:b/>
          <w:bCs/>
          <w:color w:val="000000"/>
          <w:spacing w:val="1"/>
          <w:kern w:val="0"/>
          <w:sz w:val="23"/>
          <w:szCs w:val="23"/>
        </w:rPr>
      </w:pPr>
      <w:r>
        <w:rPr>
          <w:rFonts w:ascii="宋体" w:eastAsia="宋体" w:hAnsi="宋体" w:cs="宋体" w:hint="eastAsia"/>
          <w:b/>
          <w:bCs/>
          <w:color w:val="000000"/>
          <w:spacing w:val="1"/>
          <w:kern w:val="0"/>
          <w:sz w:val="23"/>
          <w:szCs w:val="23"/>
        </w:rPr>
        <w:t>荧光电泳显示器件的应用场景以及荧光电泳颗粒的制备</w:t>
      </w:r>
    </w:p>
    <w:p w14:paraId="6AC809E5" w14:textId="77777777" w:rsidR="001E2731" w:rsidRDefault="00000000">
      <w:pPr>
        <w:widowControl/>
        <w:rPr>
          <w:rFonts w:ascii="宋体" w:eastAsia="宋体" w:hAnsi="宋体" w:cs="宋体"/>
          <w:color w:val="000000"/>
          <w:spacing w:val="1"/>
          <w:kern w:val="0"/>
          <w:sz w:val="23"/>
          <w:szCs w:val="23"/>
        </w:rPr>
      </w:pPr>
      <w:r>
        <w:rPr>
          <w:rFonts w:ascii="宋体" w:eastAsia="宋体" w:hAnsi="宋体" w:cs="宋体"/>
          <w:color w:val="000000"/>
          <w:spacing w:val="1"/>
          <w:kern w:val="0"/>
          <w:sz w:val="23"/>
          <w:szCs w:val="23"/>
        </w:rPr>
        <w:t xml:space="preserve"> </w:t>
      </w:r>
      <w:r>
        <w:rPr>
          <w:rFonts w:ascii="宋体" w:eastAsia="宋体" w:hAnsi="宋体" w:cs="宋体" w:hint="eastAsia"/>
          <w:color w:val="000000"/>
          <w:spacing w:val="1"/>
          <w:kern w:val="0"/>
          <w:sz w:val="23"/>
          <w:szCs w:val="23"/>
        </w:rPr>
        <w:t xml:space="preserve">   目前的电泳显示器件主要依赖于太阳光、室内灯光以及背光源等可见光工作，这种光源依赖性限制了电泳显示器件在黑暗环境以及非可见光条件下的应用，如图 2a 所示。针对这一问题，研究团队提出可在紫外光下工作的荧光电泳显示器，结合反射和自发光模式，引入兼顾主动发光显示和反射式显示双模式显示优势的荧光电泳粒子，使电泳显示器能在黑暗环境下正常工作，未来有望在防伪设备中应用。</w:t>
      </w:r>
    </w:p>
    <w:p w14:paraId="17308B62" w14:textId="77777777" w:rsidR="001E2731" w:rsidRDefault="001E2731">
      <w:pPr>
        <w:widowControl/>
        <w:rPr>
          <w:rFonts w:ascii="宋体" w:eastAsia="宋体" w:hAnsi="宋体" w:cs="宋体"/>
          <w:color w:val="000000"/>
          <w:spacing w:val="1"/>
          <w:kern w:val="0"/>
          <w:sz w:val="23"/>
          <w:szCs w:val="23"/>
        </w:rPr>
      </w:pPr>
    </w:p>
    <w:p w14:paraId="3C5FE560" w14:textId="77777777" w:rsidR="001E2731" w:rsidRDefault="00000000">
      <w:pPr>
        <w:widowControl/>
        <w:ind w:firstLineChars="200" w:firstLine="464"/>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本研究将钙钛矿量子点复合到电泳粒子TiO</w:t>
      </w:r>
      <w:r>
        <w:rPr>
          <w:rFonts w:ascii="宋体" w:eastAsia="宋体" w:hAnsi="宋体" w:cs="宋体" w:hint="eastAsia"/>
          <w:color w:val="000000"/>
          <w:spacing w:val="1"/>
          <w:kern w:val="0"/>
          <w:sz w:val="23"/>
          <w:szCs w:val="23"/>
          <w:vertAlign w:val="subscript"/>
        </w:rPr>
        <w:t>2</w:t>
      </w:r>
      <w:r>
        <w:rPr>
          <w:rFonts w:ascii="宋体" w:eastAsia="宋体" w:hAnsi="宋体" w:cs="宋体" w:hint="eastAsia"/>
          <w:color w:val="000000"/>
          <w:spacing w:val="1"/>
          <w:kern w:val="0"/>
          <w:sz w:val="23"/>
          <w:szCs w:val="23"/>
        </w:rPr>
        <w:t>上，并通过接枝聚合等方法制备了在电场下可以驱动的荧光电泳粒子，制备流程如图2b所示。</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颗粒表面富含羟基官能团，利于进一步的表面处理与接枝聚合。首先，</w:t>
      </w:r>
      <w:r>
        <w:rPr>
          <w:rFonts w:ascii="宋体" w:eastAsia="宋体" w:hAnsi="宋体" w:cs="宋体" w:hint="eastAsia"/>
          <w:color w:val="000000"/>
          <w:spacing w:val="1"/>
          <w:kern w:val="0"/>
          <w:sz w:val="23"/>
          <w:szCs w:val="23"/>
        </w:rPr>
        <w:t>将</w:t>
      </w:r>
      <w:r>
        <w:rPr>
          <w:rFonts w:ascii="宋体" w:eastAsia="宋体" w:hAnsi="宋体" w:cs="宋体"/>
          <w:color w:val="000000"/>
          <w:spacing w:val="1"/>
          <w:kern w:val="0"/>
          <w:sz w:val="23"/>
          <w:szCs w:val="23"/>
        </w:rPr>
        <w:t>硅烷偶联剂</w:t>
      </w:r>
      <w:r>
        <w:rPr>
          <w:rFonts w:ascii="宋体" w:eastAsia="宋体" w:hAnsi="宋体" w:cs="宋体" w:hint="eastAsia"/>
          <w:color w:val="000000"/>
          <w:spacing w:val="1"/>
          <w:kern w:val="0"/>
          <w:sz w:val="23"/>
          <w:szCs w:val="23"/>
        </w:rPr>
        <w:t>与</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颗粒进行球磨处理，制备得到</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-MPS。</w:t>
      </w:r>
      <w:r>
        <w:rPr>
          <w:rFonts w:ascii="宋体" w:eastAsia="宋体" w:hAnsi="宋体" w:cs="宋体" w:hint="eastAsia"/>
          <w:color w:val="000000"/>
          <w:spacing w:val="1"/>
          <w:kern w:val="0"/>
          <w:sz w:val="23"/>
          <w:szCs w:val="23"/>
        </w:rPr>
        <w:t>随后</w:t>
      </w:r>
      <w:r>
        <w:rPr>
          <w:rFonts w:ascii="宋体" w:eastAsia="宋体" w:hAnsi="宋体" w:cs="宋体"/>
          <w:color w:val="000000"/>
          <w:spacing w:val="1"/>
          <w:kern w:val="0"/>
          <w:sz w:val="23"/>
          <w:szCs w:val="23"/>
        </w:rPr>
        <w:t>，将</w:t>
      </w:r>
      <w:r>
        <w:rPr>
          <w:rFonts w:ascii="宋体" w:eastAsia="宋体" w:hAnsi="宋体" w:cs="宋体" w:hint="eastAsia"/>
          <w:color w:val="000000"/>
          <w:spacing w:val="1"/>
          <w:kern w:val="0"/>
          <w:sz w:val="23"/>
          <w:szCs w:val="23"/>
        </w:rPr>
        <w:t>钙钛矿</w:t>
      </w:r>
      <w:r>
        <w:rPr>
          <w:rFonts w:ascii="宋体" w:eastAsia="宋体" w:hAnsi="宋体" w:cs="宋体"/>
          <w:color w:val="000000"/>
          <w:spacing w:val="1"/>
          <w:kern w:val="0"/>
          <w:sz w:val="23"/>
          <w:szCs w:val="23"/>
        </w:rPr>
        <w:t>量子点前驱体溶液</w:t>
      </w:r>
      <w:r>
        <w:rPr>
          <w:rFonts w:ascii="宋体" w:eastAsia="宋体" w:hAnsi="宋体" w:cs="宋体" w:hint="eastAsia"/>
          <w:color w:val="000000"/>
          <w:spacing w:val="1"/>
          <w:kern w:val="0"/>
          <w:sz w:val="23"/>
          <w:szCs w:val="23"/>
        </w:rPr>
        <w:t>加入到</w:t>
      </w:r>
      <w:r>
        <w:rPr>
          <w:rFonts w:ascii="宋体" w:eastAsia="宋体" w:hAnsi="宋体" w:cs="宋体"/>
          <w:color w:val="000000"/>
          <w:spacing w:val="1"/>
          <w:kern w:val="0"/>
          <w:sz w:val="23"/>
          <w:szCs w:val="23"/>
        </w:rPr>
        <w:t>分散</w:t>
      </w:r>
      <w:r>
        <w:rPr>
          <w:rFonts w:ascii="宋体" w:eastAsia="宋体" w:hAnsi="宋体" w:cs="宋体" w:hint="eastAsia"/>
          <w:color w:val="000000"/>
          <w:spacing w:val="1"/>
          <w:kern w:val="0"/>
          <w:sz w:val="23"/>
          <w:szCs w:val="23"/>
        </w:rPr>
        <w:t>了</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颗粒</w:t>
      </w:r>
      <w:r>
        <w:rPr>
          <w:rFonts w:ascii="宋体" w:eastAsia="宋体" w:hAnsi="宋体" w:cs="宋体" w:hint="eastAsia"/>
          <w:color w:val="000000"/>
          <w:spacing w:val="1"/>
          <w:kern w:val="0"/>
          <w:sz w:val="23"/>
          <w:szCs w:val="23"/>
        </w:rPr>
        <w:t>的</w:t>
      </w:r>
      <w:r>
        <w:rPr>
          <w:rFonts w:ascii="宋体" w:eastAsia="宋体" w:hAnsi="宋体" w:cs="宋体"/>
          <w:color w:val="000000"/>
          <w:spacing w:val="1"/>
          <w:kern w:val="0"/>
          <w:sz w:val="23"/>
          <w:szCs w:val="23"/>
        </w:rPr>
        <w:t>甲苯溶剂中</w:t>
      </w:r>
      <w:r>
        <w:rPr>
          <w:rFonts w:ascii="宋体" w:eastAsia="宋体" w:hAnsi="宋体" w:cs="宋体" w:hint="eastAsia"/>
          <w:color w:val="000000"/>
          <w:spacing w:val="1"/>
          <w:kern w:val="0"/>
          <w:sz w:val="23"/>
          <w:szCs w:val="23"/>
        </w:rPr>
        <w:t>，制备得到负载</w:t>
      </w:r>
      <w:r>
        <w:rPr>
          <w:rFonts w:ascii="宋体" w:eastAsia="宋体" w:hAnsi="宋体" w:cs="宋体"/>
          <w:color w:val="000000"/>
          <w:spacing w:val="1"/>
          <w:kern w:val="0"/>
          <w:sz w:val="23"/>
          <w:szCs w:val="23"/>
        </w:rPr>
        <w:t>钙钛矿</w:t>
      </w:r>
      <w:r>
        <w:rPr>
          <w:rFonts w:ascii="宋体" w:eastAsia="宋体" w:hAnsi="宋体" w:cs="宋体" w:hint="eastAsia"/>
          <w:color w:val="000000"/>
          <w:spacing w:val="1"/>
          <w:kern w:val="0"/>
          <w:sz w:val="23"/>
          <w:szCs w:val="23"/>
        </w:rPr>
        <w:t>量子点</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hint="eastAsia"/>
          <w:color w:val="000000"/>
          <w:spacing w:val="1"/>
          <w:kern w:val="0"/>
          <w:sz w:val="23"/>
          <w:szCs w:val="23"/>
        </w:rPr>
        <w:t>的</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Times New Roman" w:eastAsia="宋体" w:hAnsi="Times New Roman" w:cs="Times New Roman" w:hint="eastAsia"/>
          <w:color w:val="000000"/>
          <w:spacing w:val="1"/>
          <w:kern w:val="0"/>
          <w:sz w:val="23"/>
          <w:szCs w:val="23"/>
        </w:rPr>
        <w:t>复合</w:t>
      </w:r>
      <w:r>
        <w:rPr>
          <w:rFonts w:ascii="宋体" w:eastAsia="宋体" w:hAnsi="宋体" w:cs="宋体" w:hint="eastAsia"/>
          <w:color w:val="000000"/>
          <w:spacing w:val="1"/>
          <w:kern w:val="0"/>
          <w:sz w:val="23"/>
          <w:szCs w:val="23"/>
        </w:rPr>
        <w:t>粒子</w:t>
      </w:r>
      <w:r>
        <w:rPr>
          <w:rFonts w:ascii="宋体" w:eastAsia="宋体" w:hAnsi="宋体" w:cs="宋体"/>
          <w:color w:val="000000"/>
          <w:spacing w:val="1"/>
          <w:kern w:val="0"/>
          <w:sz w:val="23"/>
          <w:szCs w:val="23"/>
        </w:rPr>
        <w:lastRenderedPageBreak/>
        <w:t>（</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color w:val="000000"/>
          <w:spacing w:val="1"/>
          <w:kern w:val="0"/>
          <w:sz w:val="23"/>
          <w:szCs w:val="23"/>
        </w:rPr>
        <w:t>）。最后，使用ABVN作为引发剂，在40℃的低温条件下，</w:t>
      </w:r>
      <w:r>
        <w:rPr>
          <w:rFonts w:ascii="宋体" w:eastAsia="宋体" w:hAnsi="宋体" w:cs="宋体" w:hint="eastAsia"/>
          <w:color w:val="000000"/>
          <w:spacing w:val="1"/>
          <w:kern w:val="0"/>
          <w:sz w:val="23"/>
          <w:szCs w:val="23"/>
        </w:rPr>
        <w:t>使</w:t>
      </w:r>
      <w:r>
        <w:rPr>
          <w:rFonts w:ascii="宋体" w:eastAsia="宋体" w:hAnsi="宋体" w:cs="宋体"/>
          <w:color w:val="000000"/>
          <w:spacing w:val="1"/>
          <w:kern w:val="0"/>
          <w:sz w:val="23"/>
          <w:szCs w:val="23"/>
        </w:rPr>
        <w:t xml:space="preserve"> </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color w:val="000000"/>
          <w:spacing w:val="1"/>
          <w:kern w:val="0"/>
          <w:sz w:val="23"/>
          <w:szCs w:val="23"/>
        </w:rPr>
        <w:t>颗粒与聚合物单体聚合</w:t>
      </w:r>
      <w:r>
        <w:rPr>
          <w:rFonts w:ascii="宋体" w:eastAsia="宋体" w:hAnsi="宋体" w:cs="宋体" w:hint="eastAsia"/>
          <w:color w:val="000000"/>
          <w:spacing w:val="1"/>
          <w:kern w:val="0"/>
          <w:sz w:val="23"/>
          <w:szCs w:val="23"/>
        </w:rPr>
        <w:t>制备得到</w:t>
      </w:r>
      <w:r>
        <w:rPr>
          <w:rFonts w:ascii="宋体" w:eastAsia="宋体" w:hAnsi="宋体" w:cs="宋体"/>
          <w:color w:val="000000"/>
          <w:spacing w:val="1"/>
          <w:kern w:val="0"/>
          <w:sz w:val="23"/>
          <w:szCs w:val="23"/>
        </w:rPr>
        <w:t>荧光电泳</w:t>
      </w:r>
      <w:r>
        <w:rPr>
          <w:rFonts w:ascii="宋体" w:eastAsia="宋体" w:hAnsi="宋体" w:cs="宋体" w:hint="eastAsia"/>
          <w:color w:val="000000"/>
          <w:spacing w:val="1"/>
          <w:kern w:val="0"/>
          <w:sz w:val="23"/>
          <w:szCs w:val="23"/>
        </w:rPr>
        <w:t>粒子</w:t>
      </w:r>
      <w:proofErr w:type="spellStart"/>
      <w:r>
        <w:rPr>
          <w:rFonts w:ascii="宋体" w:eastAsia="宋体" w:hAnsi="宋体" w:cs="宋体"/>
          <w:color w:val="000000"/>
          <w:spacing w:val="1"/>
          <w:kern w:val="0"/>
          <w:sz w:val="23"/>
          <w:szCs w:val="23"/>
        </w:rPr>
        <w:t>TiO</w:t>
      </w:r>
      <w:proofErr w:type="spellEnd"/>
      <w:r>
        <w:rPr>
          <w:rFonts w:ascii="Times New Roman" w:eastAsia="宋体" w:hAnsi="Times New Roman" w:cs="Times New Roman"/>
          <w:color w:val="000000"/>
          <w:spacing w:val="1"/>
          <w:kern w:val="0"/>
          <w:sz w:val="23"/>
          <w:szCs w:val="23"/>
        </w:rPr>
        <w:t>₂</w:t>
      </w:r>
      <w:r>
        <w:rPr>
          <w:rFonts w:ascii="宋体" w:eastAsia="宋体" w:hAnsi="宋体" w:cs="宋体"/>
          <w:color w:val="000000"/>
          <w:spacing w:val="1"/>
          <w:kern w:val="0"/>
          <w:sz w:val="23"/>
          <w:szCs w:val="23"/>
        </w:rPr>
        <w:t>/</w:t>
      </w:r>
      <w:proofErr w:type="spellStart"/>
      <w:r>
        <w:rPr>
          <w:rFonts w:ascii="宋体" w:eastAsia="宋体" w:hAnsi="宋体" w:cs="宋体"/>
          <w:color w:val="000000"/>
          <w:spacing w:val="1"/>
          <w:kern w:val="0"/>
          <w:sz w:val="23"/>
          <w:szCs w:val="23"/>
        </w:rPr>
        <w:t>CsPbBr</w:t>
      </w:r>
      <w:proofErr w:type="spellEnd"/>
      <w:r>
        <w:rPr>
          <w:rFonts w:ascii="Times New Roman" w:eastAsia="宋体" w:hAnsi="Times New Roman" w:cs="Times New Roman"/>
          <w:color w:val="000000"/>
          <w:spacing w:val="1"/>
          <w:kern w:val="0"/>
          <w:sz w:val="23"/>
          <w:szCs w:val="23"/>
        </w:rPr>
        <w:t>₃</w:t>
      </w:r>
      <w:r>
        <w:rPr>
          <w:rFonts w:ascii="宋体" w:eastAsia="宋体" w:hAnsi="宋体" w:cs="宋体"/>
          <w:color w:val="000000"/>
          <w:spacing w:val="1"/>
          <w:kern w:val="0"/>
          <w:sz w:val="23"/>
          <w:szCs w:val="23"/>
        </w:rPr>
        <w:t>-PLMA</w:t>
      </w:r>
      <w:r>
        <w:rPr>
          <w:rFonts w:ascii="宋体" w:eastAsia="宋体" w:hAnsi="宋体" w:cs="宋体" w:hint="eastAsia"/>
          <w:color w:val="000000"/>
          <w:spacing w:val="1"/>
          <w:kern w:val="0"/>
          <w:sz w:val="23"/>
          <w:szCs w:val="23"/>
        </w:rPr>
        <w:t>(</w:t>
      </w:r>
      <w:proofErr w:type="spellStart"/>
      <w:r>
        <w:rPr>
          <w:rFonts w:ascii="宋体" w:eastAsia="宋体" w:hAnsi="宋体" w:cs="宋体" w:hint="eastAsia"/>
          <w:color w:val="000000"/>
          <w:spacing w:val="1"/>
          <w:kern w:val="0"/>
          <w:sz w:val="23"/>
          <w:szCs w:val="23"/>
        </w:rPr>
        <w:t>TiO</w:t>
      </w:r>
      <w:proofErr w:type="spellEnd"/>
      <w:r>
        <w:rPr>
          <w:rFonts w:ascii="宋体" w:eastAsia="宋体" w:hAnsi="宋体" w:cs="宋体" w:hint="eastAsia"/>
          <w:color w:val="000000"/>
          <w:spacing w:val="1"/>
          <w:kern w:val="0"/>
          <w:sz w:val="23"/>
          <w:szCs w:val="23"/>
        </w:rPr>
        <w:t>/CPB)。</w:t>
      </w:r>
    </w:p>
    <w:p w14:paraId="45EF653F" w14:textId="77777777" w:rsidR="001E2731" w:rsidRDefault="00000000">
      <w:pPr>
        <w:widowControl/>
        <w:rPr>
          <w:rFonts w:ascii="Microsoft YaHei UI" w:eastAsia="Microsoft YaHei UI" w:hAnsi="Microsoft YaHei UI" w:cs="宋体"/>
          <w:spacing w:val="8"/>
          <w:kern w:val="0"/>
          <w:sz w:val="26"/>
          <w:szCs w:val="26"/>
        </w:rPr>
      </w:pPr>
      <w:r>
        <w:rPr>
          <w:rFonts w:ascii="Microsoft YaHei UI" w:eastAsia="Microsoft YaHei UI" w:hAnsi="Microsoft YaHei UI" w:cs="宋体" w:hint="eastAsia"/>
          <w:noProof/>
          <w:spacing w:val="8"/>
          <w:kern w:val="0"/>
          <w:sz w:val="26"/>
          <w:szCs w:val="26"/>
        </w:rPr>
        <w:drawing>
          <wp:inline distT="0" distB="0" distL="0" distR="0" wp14:anchorId="1BF14D9E" wp14:editId="133B6F15">
            <wp:extent cx="5223510" cy="2492375"/>
            <wp:effectExtent l="0" t="0" r="0" b="3175"/>
            <wp:docPr id="2531527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272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3860" cy="2511922"/>
                    </a:xfrm>
                    <a:prstGeom prst="rect">
                      <a:avLst/>
                    </a:prstGeom>
                    <a:noFill/>
                  </pic:spPr>
                </pic:pic>
              </a:graphicData>
            </a:graphic>
          </wp:inline>
        </w:drawing>
      </w:r>
    </w:p>
    <w:p w14:paraId="0C0C05C5" w14:textId="77777777" w:rsidR="001E2731" w:rsidRPr="00D04787" w:rsidRDefault="00000000" w:rsidP="00D04787">
      <w:pPr>
        <w:widowControl/>
        <w:shd w:val="clear" w:color="auto" w:fill="FFFFFF"/>
        <w:ind w:right="120"/>
        <w:jc w:val="center"/>
        <w:rPr>
          <w:rFonts w:ascii="宋体" w:eastAsia="宋体" w:hAnsi="宋体" w:cs="宋体"/>
          <w:color w:val="000000"/>
          <w:spacing w:val="1"/>
          <w:kern w:val="0"/>
          <w:sz w:val="23"/>
          <w:szCs w:val="23"/>
        </w:rPr>
      </w:pPr>
      <w:r w:rsidRPr="00D04787">
        <w:rPr>
          <w:rFonts w:ascii="宋体" w:eastAsia="宋体" w:hAnsi="宋体" w:cs="宋体" w:hint="eastAsia"/>
          <w:color w:val="000000"/>
          <w:spacing w:val="1"/>
          <w:kern w:val="0"/>
          <w:sz w:val="23"/>
          <w:szCs w:val="23"/>
        </w:rPr>
        <w:t>图3.</w:t>
      </w:r>
      <w:r w:rsidRPr="00D04787">
        <w:rPr>
          <w:rFonts w:ascii="宋体" w:eastAsia="宋体" w:hAnsi="宋体" w:cs="宋体"/>
          <w:color w:val="000000"/>
          <w:spacing w:val="1"/>
          <w:kern w:val="0"/>
          <w:sz w:val="23"/>
          <w:szCs w:val="23"/>
        </w:rPr>
        <w:t>荧光EPD在白、绿、黑三种状态下的原理图和照片。比例尺:1厘米</w:t>
      </w:r>
    </w:p>
    <w:p w14:paraId="44460EEA" w14:textId="77777777" w:rsidR="001E2731" w:rsidRDefault="001E2731">
      <w:pPr>
        <w:widowControl/>
        <w:shd w:val="clear" w:color="auto" w:fill="FFFFFF"/>
        <w:rPr>
          <w:rFonts w:ascii="Microsoft YaHei UI" w:eastAsia="Microsoft YaHei UI" w:hAnsi="Microsoft YaHei UI" w:cs="宋体"/>
          <w:spacing w:val="8"/>
          <w:kern w:val="0"/>
          <w:sz w:val="26"/>
          <w:szCs w:val="26"/>
        </w:rPr>
      </w:pPr>
    </w:p>
    <w:p w14:paraId="4EB6F143" w14:textId="77777777" w:rsidR="001E2731" w:rsidRDefault="00000000">
      <w:pPr>
        <w:widowControl/>
        <w:shd w:val="clear" w:color="auto" w:fill="FFFFFF"/>
        <w:ind w:left="120" w:right="120"/>
        <w:rPr>
          <w:rFonts w:ascii="宋体" w:eastAsia="宋体" w:hAnsi="宋体" w:cs="宋体"/>
          <w:b/>
          <w:bCs/>
          <w:color w:val="000000"/>
          <w:spacing w:val="1"/>
          <w:kern w:val="0"/>
          <w:sz w:val="23"/>
          <w:szCs w:val="23"/>
        </w:rPr>
      </w:pPr>
      <w:r>
        <w:rPr>
          <w:rFonts w:ascii="宋体" w:eastAsia="宋体" w:hAnsi="宋体" w:cs="宋体" w:hint="eastAsia"/>
          <w:b/>
          <w:bCs/>
          <w:color w:val="000000"/>
          <w:spacing w:val="1"/>
          <w:kern w:val="0"/>
          <w:sz w:val="23"/>
          <w:szCs w:val="23"/>
        </w:rPr>
        <w:t>2．荧光EPD</w:t>
      </w:r>
    </w:p>
    <w:p w14:paraId="5B527167" w14:textId="77777777" w:rsidR="001E2731" w:rsidRDefault="00000000">
      <w:pPr>
        <w:widowControl/>
        <w:shd w:val="clear" w:color="auto" w:fill="FFFFFF"/>
        <w:ind w:left="120" w:right="120" w:firstLineChars="200" w:firstLine="464"/>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基于荧光电泳粒子，研究团队制备了荧光电泳显示器。该器件能够在电场和紫外光照下实现双显示模式，在电场驱动下，器件可实现黑/白色切换；在紫外光驱动下，实现器件白/绿色切换。通过调控电压和外加紫外光光照，荧光电泳显示器件能够在黑、白、绿色态等多颜色切换。这种多模式切换有利于荧光 EPD 在动态防伪器件上的应用，明亮的荧光效果也有利于器件的彩色化驱动。荧光电泳器件兼顾了反射式与自发光的显示特性，拓展了电泳显示器件在动态防伪器件上的应用。</w:t>
      </w:r>
    </w:p>
    <w:p w14:paraId="04D56300" w14:textId="77777777" w:rsidR="001E2731" w:rsidRDefault="00000000">
      <w:pPr>
        <w:widowControl/>
        <w:shd w:val="clear" w:color="auto" w:fill="FFFFFF"/>
        <w:ind w:left="120" w:right="120"/>
        <w:rPr>
          <w:rFonts w:ascii="宋体" w:eastAsia="宋体" w:hAnsi="宋体" w:cs="宋体"/>
          <w:color w:val="000000"/>
          <w:spacing w:val="1"/>
          <w:kern w:val="0"/>
          <w:sz w:val="23"/>
          <w:szCs w:val="23"/>
        </w:rPr>
      </w:pPr>
      <w:r>
        <w:rPr>
          <w:rFonts w:ascii="宋体" w:eastAsia="宋体" w:hAnsi="宋体" w:cs="宋体" w:hint="eastAsia"/>
          <w:noProof/>
          <w:color w:val="000000"/>
          <w:spacing w:val="1"/>
          <w:kern w:val="0"/>
          <w:sz w:val="23"/>
          <w:szCs w:val="23"/>
        </w:rPr>
        <w:lastRenderedPageBreak/>
        <w:drawing>
          <wp:inline distT="0" distB="0" distL="0" distR="0" wp14:anchorId="6A213372" wp14:editId="16BF8CCF">
            <wp:extent cx="5274310" cy="39547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14:paraId="09439DAB" w14:textId="77777777" w:rsidR="001E2731" w:rsidRPr="00D04787" w:rsidRDefault="00000000" w:rsidP="00D04787">
      <w:pPr>
        <w:widowControl/>
        <w:shd w:val="clear" w:color="auto" w:fill="FFFFFF"/>
        <w:ind w:right="120"/>
        <w:jc w:val="center"/>
        <w:rPr>
          <w:rFonts w:ascii="宋体" w:eastAsia="宋体" w:hAnsi="宋体" w:cs="宋体"/>
          <w:color w:val="000000"/>
          <w:spacing w:val="1"/>
          <w:kern w:val="0"/>
          <w:sz w:val="23"/>
          <w:szCs w:val="23"/>
        </w:rPr>
      </w:pPr>
      <w:r w:rsidRPr="00D04787">
        <w:rPr>
          <w:rFonts w:ascii="宋体" w:eastAsia="宋体" w:hAnsi="宋体" w:cs="宋体"/>
          <w:color w:val="000000"/>
          <w:spacing w:val="1"/>
          <w:kern w:val="0"/>
          <w:sz w:val="23"/>
          <w:szCs w:val="23"/>
        </w:rPr>
        <w:t xml:space="preserve">图 </w:t>
      </w:r>
      <w:r w:rsidRPr="00D04787">
        <w:rPr>
          <w:rFonts w:ascii="宋体" w:eastAsia="宋体" w:hAnsi="宋体" w:cs="宋体" w:hint="eastAsia"/>
          <w:color w:val="000000"/>
          <w:spacing w:val="1"/>
          <w:kern w:val="0"/>
          <w:sz w:val="23"/>
          <w:szCs w:val="23"/>
        </w:rPr>
        <w:t>4</w:t>
      </w:r>
      <w:r w:rsidRPr="00D04787">
        <w:rPr>
          <w:rFonts w:ascii="宋体" w:eastAsia="宋体" w:hAnsi="宋体" w:cs="宋体"/>
          <w:color w:val="000000"/>
          <w:spacing w:val="1"/>
          <w:kern w:val="0"/>
          <w:sz w:val="23"/>
          <w:szCs w:val="23"/>
        </w:rPr>
        <w:t xml:space="preserve">. </w:t>
      </w:r>
      <w:r w:rsidRPr="00D04787">
        <w:rPr>
          <w:rFonts w:ascii="宋体" w:eastAsia="宋体" w:hAnsi="宋体" w:cs="宋体" w:hint="eastAsia"/>
          <w:color w:val="000000"/>
          <w:spacing w:val="1"/>
          <w:kern w:val="0"/>
          <w:sz w:val="23"/>
          <w:szCs w:val="23"/>
        </w:rPr>
        <w:t>基于荧光</w:t>
      </w:r>
      <w:r w:rsidRPr="00D04787">
        <w:rPr>
          <w:rFonts w:ascii="宋体" w:eastAsia="宋体" w:hAnsi="宋体" w:cs="宋体"/>
          <w:color w:val="000000"/>
          <w:spacing w:val="1"/>
          <w:kern w:val="0"/>
          <w:sz w:val="23"/>
          <w:szCs w:val="23"/>
        </w:rPr>
        <w:t>EPD的</w:t>
      </w:r>
      <w:r w:rsidRPr="00D04787">
        <w:rPr>
          <w:rFonts w:ascii="宋体" w:eastAsia="宋体" w:hAnsi="宋体" w:cs="宋体" w:hint="eastAsia"/>
          <w:color w:val="000000"/>
          <w:spacing w:val="1"/>
          <w:kern w:val="0"/>
          <w:sz w:val="23"/>
          <w:szCs w:val="23"/>
        </w:rPr>
        <w:t>动态防伪</w:t>
      </w:r>
      <w:r w:rsidRPr="00D04787">
        <w:rPr>
          <w:rFonts w:ascii="宋体" w:eastAsia="宋体" w:hAnsi="宋体" w:cs="宋体"/>
          <w:color w:val="000000"/>
          <w:spacing w:val="1"/>
          <w:kern w:val="0"/>
          <w:sz w:val="23"/>
          <w:szCs w:val="23"/>
        </w:rPr>
        <w:t>应用</w:t>
      </w:r>
    </w:p>
    <w:p w14:paraId="0204521C" w14:textId="77777777" w:rsidR="001E2731" w:rsidRDefault="001E2731">
      <w:pPr>
        <w:widowControl/>
        <w:shd w:val="clear" w:color="auto" w:fill="FFFFFF"/>
        <w:ind w:left="120" w:right="120"/>
        <w:rPr>
          <w:rFonts w:ascii="宋体" w:eastAsia="宋体" w:hAnsi="宋体" w:cs="宋体"/>
          <w:color w:val="000000"/>
          <w:spacing w:val="1"/>
          <w:kern w:val="0"/>
          <w:sz w:val="23"/>
          <w:szCs w:val="23"/>
        </w:rPr>
      </w:pPr>
    </w:p>
    <w:p w14:paraId="7ACEBD5B" w14:textId="77777777" w:rsidR="001E2731" w:rsidRDefault="00000000">
      <w:pPr>
        <w:widowControl/>
        <w:shd w:val="clear" w:color="auto" w:fill="FFFFFF"/>
        <w:ind w:left="120" w:right="120"/>
        <w:rPr>
          <w:rFonts w:ascii="宋体" w:eastAsia="宋体" w:hAnsi="宋体" w:cs="宋体"/>
          <w:b/>
          <w:bCs/>
          <w:color w:val="000000"/>
          <w:spacing w:val="1"/>
          <w:kern w:val="0"/>
          <w:sz w:val="23"/>
          <w:szCs w:val="23"/>
        </w:rPr>
      </w:pPr>
      <w:r>
        <w:rPr>
          <w:rFonts w:ascii="宋体" w:eastAsia="宋体" w:hAnsi="宋体" w:cs="宋体" w:hint="eastAsia"/>
          <w:b/>
          <w:bCs/>
          <w:color w:val="000000"/>
          <w:spacing w:val="1"/>
          <w:kern w:val="0"/>
          <w:sz w:val="23"/>
          <w:szCs w:val="23"/>
        </w:rPr>
        <w:t>3．</w:t>
      </w:r>
      <w:r>
        <w:rPr>
          <w:rFonts w:ascii="宋体" w:eastAsia="宋体" w:hAnsi="宋体" w:cs="宋体"/>
          <w:b/>
          <w:bCs/>
          <w:color w:val="000000"/>
          <w:spacing w:val="1"/>
          <w:kern w:val="0"/>
          <w:sz w:val="23"/>
          <w:szCs w:val="23"/>
        </w:rPr>
        <w:t>多功能</w:t>
      </w:r>
      <w:r>
        <w:rPr>
          <w:rFonts w:ascii="宋体" w:eastAsia="宋体" w:hAnsi="宋体" w:cs="宋体" w:hint="eastAsia"/>
          <w:b/>
          <w:bCs/>
          <w:color w:val="000000"/>
          <w:spacing w:val="1"/>
          <w:kern w:val="0"/>
          <w:sz w:val="23"/>
          <w:szCs w:val="23"/>
        </w:rPr>
        <w:t>防伪</w:t>
      </w:r>
      <w:r>
        <w:rPr>
          <w:rFonts w:ascii="宋体" w:eastAsia="宋体" w:hAnsi="宋体" w:cs="宋体"/>
          <w:b/>
          <w:bCs/>
          <w:color w:val="000000"/>
          <w:spacing w:val="1"/>
          <w:kern w:val="0"/>
          <w:sz w:val="23"/>
          <w:szCs w:val="23"/>
        </w:rPr>
        <w:t>器件</w:t>
      </w:r>
      <w:r>
        <w:rPr>
          <w:rFonts w:ascii="宋体" w:eastAsia="宋体" w:hAnsi="宋体" w:cs="宋体" w:hint="eastAsia"/>
          <w:b/>
          <w:bCs/>
          <w:color w:val="000000"/>
          <w:spacing w:val="1"/>
          <w:kern w:val="0"/>
          <w:sz w:val="23"/>
          <w:szCs w:val="23"/>
        </w:rPr>
        <w:t>:</w:t>
      </w:r>
    </w:p>
    <w:p w14:paraId="68434D4F" w14:textId="77777777" w:rsidR="001E2731" w:rsidRDefault="00000000">
      <w:pPr>
        <w:widowControl/>
        <w:shd w:val="clear" w:color="auto" w:fill="FFFFFF"/>
        <w:ind w:left="120" w:right="120" w:firstLineChars="200" w:firstLine="464"/>
        <w:rPr>
          <w:rFonts w:ascii="宋体" w:eastAsia="宋体" w:hAnsi="宋体" w:cs="宋体"/>
          <w:color w:val="000000"/>
          <w:spacing w:val="1"/>
          <w:kern w:val="0"/>
          <w:sz w:val="23"/>
          <w:szCs w:val="23"/>
        </w:rPr>
      </w:pPr>
      <w:r>
        <w:rPr>
          <w:rFonts w:ascii="宋体" w:eastAsia="宋体" w:hAnsi="宋体" w:cs="宋体" w:hint="eastAsia"/>
          <w:color w:val="000000"/>
          <w:spacing w:val="1"/>
          <w:kern w:val="0"/>
          <w:sz w:val="23"/>
          <w:szCs w:val="23"/>
        </w:rPr>
        <w:t>研究团队基于荧光电泳显示器制备了防伪显示器件，该防伪器件采用多层结构设计，由顶部和底部</w:t>
      </w:r>
      <w:r>
        <w:rPr>
          <w:rFonts w:ascii="宋体" w:eastAsia="宋体" w:hAnsi="宋体" w:cs="宋体"/>
          <w:color w:val="000000"/>
          <w:spacing w:val="1"/>
          <w:kern w:val="0"/>
          <w:sz w:val="23"/>
          <w:szCs w:val="23"/>
        </w:rPr>
        <w:t>ITO层以及带</w:t>
      </w:r>
      <w:r>
        <w:rPr>
          <w:rFonts w:ascii="宋体" w:eastAsia="宋体" w:hAnsi="宋体" w:cs="宋体" w:hint="eastAsia"/>
          <w:color w:val="000000"/>
          <w:spacing w:val="1"/>
          <w:kern w:val="0"/>
          <w:sz w:val="23"/>
          <w:szCs w:val="23"/>
        </w:rPr>
        <w:t>有</w:t>
      </w:r>
      <w:r>
        <w:rPr>
          <w:rFonts w:ascii="宋体" w:eastAsia="宋体" w:hAnsi="宋体" w:cs="宋体"/>
          <w:color w:val="000000"/>
          <w:spacing w:val="1"/>
          <w:kern w:val="0"/>
          <w:sz w:val="23"/>
          <w:szCs w:val="23"/>
        </w:rPr>
        <w:t>图案</w:t>
      </w:r>
      <w:r>
        <w:rPr>
          <w:rFonts w:ascii="宋体" w:eastAsia="宋体" w:hAnsi="宋体" w:cs="宋体" w:hint="eastAsia"/>
          <w:color w:val="000000"/>
          <w:spacing w:val="1"/>
          <w:kern w:val="0"/>
          <w:sz w:val="23"/>
          <w:szCs w:val="23"/>
        </w:rPr>
        <w:t>化</w:t>
      </w:r>
      <w:r>
        <w:rPr>
          <w:rFonts w:ascii="宋体" w:eastAsia="宋体" w:hAnsi="宋体" w:cs="宋体"/>
          <w:color w:val="000000"/>
          <w:spacing w:val="1"/>
          <w:kern w:val="0"/>
          <w:sz w:val="23"/>
          <w:szCs w:val="23"/>
        </w:rPr>
        <w:t>的OCA</w:t>
      </w:r>
      <w:r>
        <w:rPr>
          <w:rFonts w:ascii="宋体" w:eastAsia="宋体" w:hAnsi="宋体" w:cs="宋体" w:hint="eastAsia"/>
          <w:color w:val="000000"/>
          <w:spacing w:val="1"/>
          <w:kern w:val="0"/>
          <w:sz w:val="23"/>
          <w:szCs w:val="23"/>
        </w:rPr>
        <w:t>层</w:t>
      </w:r>
      <w:r>
        <w:rPr>
          <w:rFonts w:ascii="宋体" w:eastAsia="宋体" w:hAnsi="宋体" w:cs="宋体"/>
          <w:color w:val="000000"/>
          <w:spacing w:val="1"/>
          <w:kern w:val="0"/>
          <w:sz w:val="23"/>
          <w:szCs w:val="23"/>
        </w:rPr>
        <w:t>组成。通过在数字“8”图案中的数字“5”区域填充荧光电泳分散液，而在其他区域填充</w:t>
      </w:r>
      <w:r>
        <w:rPr>
          <w:rFonts w:ascii="宋体" w:eastAsia="宋体" w:hAnsi="宋体" w:cs="宋体" w:hint="eastAsia"/>
          <w:color w:val="000000"/>
          <w:spacing w:val="1"/>
          <w:kern w:val="0"/>
          <w:sz w:val="23"/>
          <w:szCs w:val="23"/>
        </w:rPr>
        <w:t>普通</w:t>
      </w:r>
      <w:r>
        <w:rPr>
          <w:rFonts w:ascii="宋体" w:eastAsia="宋体" w:hAnsi="宋体" w:cs="宋体"/>
          <w:color w:val="000000"/>
          <w:spacing w:val="1"/>
          <w:kern w:val="0"/>
          <w:sz w:val="23"/>
          <w:szCs w:val="23"/>
        </w:rPr>
        <w:t>电泳分散液，在可见光下，该EPD能够在30V电压下实现黑白数字“8”的切换。当白色粒子被驱动到ITO顶层时，可以通过切换紫外光，实现数字“5”图案的绿色状态和数字“8”图案的白色状态。荧光EPD技术</w:t>
      </w:r>
      <w:r>
        <w:rPr>
          <w:rFonts w:ascii="宋体" w:eastAsia="宋体" w:hAnsi="宋体" w:cs="宋体" w:hint="eastAsia"/>
          <w:color w:val="000000"/>
          <w:spacing w:val="1"/>
          <w:kern w:val="0"/>
          <w:sz w:val="23"/>
          <w:szCs w:val="23"/>
        </w:rPr>
        <w:t>拓展了EPD在</w:t>
      </w:r>
      <w:r>
        <w:rPr>
          <w:rFonts w:ascii="宋体" w:eastAsia="宋体" w:hAnsi="宋体" w:cs="宋体"/>
          <w:color w:val="000000"/>
          <w:spacing w:val="1"/>
          <w:kern w:val="0"/>
          <w:sz w:val="23"/>
          <w:szCs w:val="23"/>
        </w:rPr>
        <w:t>动态</w:t>
      </w:r>
      <w:r>
        <w:rPr>
          <w:rFonts w:ascii="宋体" w:eastAsia="宋体" w:hAnsi="宋体" w:cs="宋体" w:hint="eastAsia"/>
          <w:color w:val="000000"/>
          <w:spacing w:val="1"/>
          <w:kern w:val="0"/>
          <w:sz w:val="23"/>
          <w:szCs w:val="23"/>
        </w:rPr>
        <w:t>防伪</w:t>
      </w:r>
      <w:r>
        <w:rPr>
          <w:rFonts w:ascii="宋体" w:eastAsia="宋体" w:hAnsi="宋体" w:cs="宋体"/>
          <w:color w:val="000000"/>
          <w:spacing w:val="1"/>
          <w:kern w:val="0"/>
          <w:sz w:val="23"/>
          <w:szCs w:val="23"/>
        </w:rPr>
        <w:t>与多功能显示</w:t>
      </w:r>
      <w:r>
        <w:rPr>
          <w:rFonts w:ascii="宋体" w:eastAsia="宋体" w:hAnsi="宋体" w:cs="宋体" w:hint="eastAsia"/>
          <w:color w:val="000000"/>
          <w:spacing w:val="1"/>
          <w:kern w:val="0"/>
          <w:sz w:val="23"/>
          <w:szCs w:val="23"/>
        </w:rPr>
        <w:t>上的应用，有效提升了防伪安全性。</w:t>
      </w:r>
      <w:r>
        <w:rPr>
          <w:rStyle w:val="fontstyle01"/>
          <w:rFonts w:hint="default"/>
        </w:rPr>
        <w:t>该动态防伪器件在电场和紫外光照下可以实现其双模式显示，未来可以应用于智能防伪器件中。</w:t>
      </w:r>
      <w:r>
        <w:rPr>
          <w:rFonts w:ascii="宋体" w:eastAsia="宋体" w:hAnsi="宋体" w:cs="宋体" w:hint="eastAsia"/>
          <w:color w:val="000000"/>
          <w:spacing w:val="1"/>
          <w:kern w:val="0"/>
          <w:sz w:val="23"/>
          <w:szCs w:val="23"/>
        </w:rPr>
        <w:t>该器件</w:t>
      </w:r>
      <w:r>
        <w:rPr>
          <w:rFonts w:ascii="宋体" w:eastAsia="宋体" w:hAnsi="宋体" w:cs="宋体"/>
          <w:color w:val="000000"/>
          <w:spacing w:val="1"/>
          <w:kern w:val="0"/>
          <w:sz w:val="23"/>
          <w:szCs w:val="23"/>
        </w:rPr>
        <w:t>具备快速响应、通过控制电场和紫外光实现</w:t>
      </w:r>
      <w:r>
        <w:rPr>
          <w:rFonts w:ascii="宋体" w:eastAsia="宋体" w:hAnsi="宋体" w:cs="宋体" w:hint="eastAsia"/>
          <w:color w:val="000000"/>
          <w:spacing w:val="1"/>
          <w:kern w:val="0"/>
          <w:sz w:val="23"/>
          <w:szCs w:val="23"/>
        </w:rPr>
        <w:t>防伪</w:t>
      </w:r>
      <w:r>
        <w:rPr>
          <w:rFonts w:ascii="宋体" w:eastAsia="宋体" w:hAnsi="宋体" w:cs="宋体"/>
          <w:color w:val="000000"/>
          <w:spacing w:val="1"/>
          <w:kern w:val="0"/>
          <w:sz w:val="23"/>
          <w:szCs w:val="23"/>
        </w:rPr>
        <w:t>设备的隐私可控、智能化、多功能动态显示等特点</w:t>
      </w:r>
      <w:r>
        <w:rPr>
          <w:rFonts w:ascii="宋体" w:eastAsia="宋体" w:hAnsi="宋体" w:cs="宋体" w:hint="eastAsia"/>
          <w:color w:val="000000"/>
          <w:spacing w:val="1"/>
          <w:kern w:val="0"/>
          <w:sz w:val="23"/>
          <w:szCs w:val="23"/>
        </w:rPr>
        <w:t>，</w:t>
      </w:r>
      <w:r>
        <w:rPr>
          <w:rFonts w:ascii="宋体" w:eastAsia="宋体" w:hAnsi="宋体" w:cs="宋体"/>
          <w:color w:val="000000"/>
          <w:spacing w:val="1"/>
          <w:kern w:val="0"/>
          <w:sz w:val="23"/>
          <w:szCs w:val="23"/>
        </w:rPr>
        <w:t>具有相对较高的保密性。未来，该技术有望应用于更多</w:t>
      </w:r>
      <w:r>
        <w:rPr>
          <w:rFonts w:ascii="宋体" w:eastAsia="宋体" w:hAnsi="宋体" w:cs="宋体" w:hint="eastAsia"/>
          <w:color w:val="000000"/>
          <w:spacing w:val="1"/>
          <w:kern w:val="0"/>
          <w:sz w:val="23"/>
          <w:szCs w:val="23"/>
        </w:rPr>
        <w:t>显示器件</w:t>
      </w:r>
      <w:r>
        <w:rPr>
          <w:rFonts w:ascii="宋体" w:eastAsia="宋体" w:hAnsi="宋体" w:cs="宋体"/>
          <w:color w:val="000000"/>
          <w:spacing w:val="1"/>
          <w:kern w:val="0"/>
          <w:sz w:val="23"/>
          <w:szCs w:val="23"/>
        </w:rPr>
        <w:t>领域，通过集成商业化的驱动电路，如无源矩阵（PM）或有源矩阵（AM），进一步提升其应用广度和安全性。</w:t>
      </w:r>
    </w:p>
    <w:p w14:paraId="78F9CD33" w14:textId="77777777" w:rsidR="001E2731" w:rsidRDefault="001E2731">
      <w:pPr>
        <w:widowControl/>
        <w:shd w:val="clear" w:color="auto" w:fill="FFFFFF"/>
        <w:ind w:left="120" w:right="120"/>
        <w:rPr>
          <w:rStyle w:val="fontstyle01"/>
          <w:rFonts w:hint="default"/>
        </w:rPr>
      </w:pPr>
    </w:p>
    <w:p w14:paraId="2242273F" w14:textId="77777777" w:rsidR="001E2731" w:rsidRDefault="001E2731">
      <w:pPr>
        <w:widowControl/>
        <w:shd w:val="clear" w:color="auto" w:fill="FFFFFF"/>
        <w:ind w:left="120" w:right="120"/>
        <w:rPr>
          <w:rStyle w:val="fontstyle01"/>
          <w:rFonts w:hint="default"/>
        </w:rPr>
      </w:pPr>
    </w:p>
    <w:p w14:paraId="162A3B8E" w14:textId="77777777" w:rsidR="001E2731" w:rsidRDefault="001E2731">
      <w:pPr>
        <w:widowControl/>
        <w:shd w:val="clear" w:color="auto" w:fill="FFFFFF"/>
        <w:ind w:left="120" w:right="120"/>
        <w:rPr>
          <w:rFonts w:ascii="Times New Roman" w:eastAsia="宋体" w:hAnsi="Times New Roman" w:cs="Times New Roman"/>
          <w:sz w:val="23"/>
          <w:szCs w:val="23"/>
        </w:rPr>
      </w:pPr>
    </w:p>
    <w:p w14:paraId="50AB8326" w14:textId="77777777" w:rsidR="001F063D" w:rsidRDefault="001F063D">
      <w:pPr>
        <w:widowControl/>
        <w:spacing w:line="440" w:lineRule="exact"/>
        <w:jc w:val="left"/>
        <w:rPr>
          <w:rFonts w:ascii="Times New Roman" w:hAnsi="Times New Roman"/>
          <w:color w:val="333333"/>
          <w:kern w:val="0"/>
          <w:sz w:val="24"/>
          <w:shd w:val="clear" w:color="auto" w:fill="FFFFFF"/>
        </w:rPr>
      </w:pPr>
    </w:p>
    <w:p w14:paraId="4216D60E" w14:textId="77777777" w:rsidR="001F063D" w:rsidRDefault="001F063D">
      <w:pPr>
        <w:widowControl/>
        <w:spacing w:line="440" w:lineRule="exact"/>
        <w:jc w:val="left"/>
        <w:rPr>
          <w:rFonts w:ascii="Times New Roman" w:hAnsi="Times New Roman"/>
          <w:color w:val="333333"/>
          <w:kern w:val="0"/>
          <w:sz w:val="24"/>
          <w:shd w:val="clear" w:color="auto" w:fill="FFFFFF"/>
        </w:rPr>
      </w:pPr>
    </w:p>
    <w:p w14:paraId="0EA7A61B" w14:textId="77777777" w:rsidR="001F063D" w:rsidRDefault="001F063D">
      <w:pPr>
        <w:widowControl/>
        <w:spacing w:line="440" w:lineRule="exact"/>
        <w:jc w:val="left"/>
        <w:rPr>
          <w:rFonts w:ascii="Times New Roman" w:hAnsi="Times New Roman"/>
          <w:color w:val="333333"/>
          <w:kern w:val="0"/>
          <w:sz w:val="24"/>
          <w:shd w:val="clear" w:color="auto" w:fill="FFFFFF"/>
        </w:rPr>
      </w:pPr>
    </w:p>
    <w:p w14:paraId="0CD0910B" w14:textId="77777777" w:rsidR="001F063D" w:rsidRDefault="001F063D">
      <w:pPr>
        <w:widowControl/>
        <w:spacing w:line="440" w:lineRule="exact"/>
        <w:jc w:val="left"/>
        <w:rPr>
          <w:rFonts w:ascii="Times New Roman" w:hAnsi="Times New Roman"/>
          <w:color w:val="333333"/>
          <w:kern w:val="0"/>
          <w:sz w:val="24"/>
          <w:shd w:val="clear" w:color="auto" w:fill="FFFFFF"/>
        </w:rPr>
      </w:pPr>
    </w:p>
    <w:p w14:paraId="6D3B85C8" w14:textId="509C074A" w:rsidR="001E2731" w:rsidRDefault="001B25A6">
      <w:pPr>
        <w:widowControl/>
        <w:spacing w:line="440" w:lineRule="exact"/>
        <w:jc w:val="left"/>
        <w:rPr>
          <w:rFonts w:ascii="Times New Roman" w:hAnsi="Times New Roman"/>
          <w:color w:val="333333"/>
          <w:kern w:val="0"/>
          <w:sz w:val="24"/>
          <w:shd w:val="clear" w:color="auto" w:fill="FFFFFF"/>
        </w:rPr>
      </w:pPr>
      <w:r>
        <w:rPr>
          <w:rFonts w:ascii="Times New Roman" w:hAnsi="Times New Roman" w:hint="eastAsia"/>
          <w:color w:val="333333"/>
          <w:kern w:val="0"/>
          <w:sz w:val="24"/>
          <w:shd w:val="clear" w:color="auto" w:fill="FFFFFF"/>
        </w:rPr>
        <w:lastRenderedPageBreak/>
        <w:t>杨柏儒教授</w:t>
      </w:r>
      <w:r w:rsidR="005968A1">
        <w:rPr>
          <w:rFonts w:ascii="Times New Roman" w:hAnsi="Times New Roman" w:hint="eastAsia"/>
          <w:color w:val="333333"/>
          <w:kern w:val="0"/>
          <w:sz w:val="24"/>
          <w:shd w:val="clear" w:color="auto" w:fill="FFFFFF"/>
        </w:rPr>
        <w:t>简介：</w:t>
      </w:r>
      <w:r w:rsidR="005968A1">
        <w:rPr>
          <w:rFonts w:ascii="Times New Roman" w:hAnsi="Times New Roman"/>
          <w:color w:val="333333"/>
          <w:kern w:val="0"/>
          <w:sz w:val="24"/>
          <w:shd w:val="clear" w:color="auto" w:fill="FFFFFF"/>
        </w:rPr>
        <w:t xml:space="preserve"> </w:t>
      </w:r>
    </w:p>
    <w:p w14:paraId="1F8849A3" w14:textId="77777777" w:rsidR="001E2731" w:rsidRDefault="00000000">
      <w:pPr>
        <w:widowControl/>
        <w:ind w:firstLineChars="200" w:firstLine="480"/>
        <w:jc w:val="center"/>
        <w:rPr>
          <w:rFonts w:ascii="Times New Roman" w:hAnsi="Times New Roman"/>
          <w:b/>
          <w:bCs/>
          <w:color w:val="333333"/>
          <w:kern w:val="0"/>
          <w:sz w:val="24"/>
          <w:shd w:val="clear" w:color="auto" w:fill="FFFFFF"/>
        </w:rPr>
      </w:pPr>
      <w:r>
        <w:rPr>
          <w:rFonts w:ascii="Times New Roman" w:hAnsi="Times New Roman"/>
          <w:b/>
          <w:noProof/>
          <w:color w:val="333333"/>
          <w:kern w:val="0"/>
          <w:sz w:val="24"/>
          <w:shd w:val="clear" w:color="auto" w:fill="FFFFFF"/>
        </w:rPr>
        <w:drawing>
          <wp:inline distT="0" distB="0" distL="114300" distR="114300" wp14:anchorId="4D89A65C" wp14:editId="34BFE400">
            <wp:extent cx="3133725" cy="313372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133725" cy="3133725"/>
                    </a:xfrm>
                    <a:prstGeom prst="rect">
                      <a:avLst/>
                    </a:prstGeom>
                    <a:noFill/>
                    <a:ln>
                      <a:noFill/>
                    </a:ln>
                  </pic:spPr>
                </pic:pic>
              </a:graphicData>
            </a:graphic>
          </wp:inline>
        </w:drawing>
      </w:r>
    </w:p>
    <w:p w14:paraId="4A7DAEFB" w14:textId="075F96F4" w:rsidR="001E2731" w:rsidRDefault="00000000">
      <w:pPr>
        <w:widowControl/>
        <w:spacing w:line="440" w:lineRule="exact"/>
        <w:ind w:firstLineChars="200" w:firstLine="480"/>
        <w:jc w:val="left"/>
        <w:rPr>
          <w:rFonts w:ascii="Times New Roman" w:hAnsi="Times New Roman"/>
          <w:color w:val="333333"/>
          <w:kern w:val="0"/>
          <w:sz w:val="24"/>
          <w:shd w:val="clear" w:color="auto" w:fill="FFFFFF"/>
        </w:rPr>
      </w:pPr>
      <w:r>
        <w:rPr>
          <w:rFonts w:ascii="Times New Roman" w:hAnsi="Times New Roman" w:hint="eastAsia"/>
          <w:color w:val="333333"/>
          <w:kern w:val="0"/>
          <w:sz w:val="24"/>
          <w:shd w:val="clear" w:color="auto" w:fill="FFFFFF"/>
        </w:rPr>
        <w:t>中山大学电子与信息工程学院</w:t>
      </w:r>
      <w:r w:rsidR="00D04787">
        <w:rPr>
          <w:rFonts w:ascii="Times New Roman" w:hAnsi="Times New Roman" w:hint="eastAsia"/>
          <w:color w:val="333333"/>
          <w:kern w:val="0"/>
          <w:sz w:val="24"/>
          <w:shd w:val="clear" w:color="auto" w:fill="FFFFFF"/>
        </w:rPr>
        <w:t>（微电子学院）</w:t>
      </w:r>
      <w:r>
        <w:rPr>
          <w:rFonts w:ascii="Times New Roman" w:hAnsi="Times New Roman"/>
          <w:color w:val="333333"/>
          <w:kern w:val="0"/>
          <w:sz w:val="24"/>
          <w:shd w:val="clear" w:color="auto" w:fill="FFFFFF"/>
        </w:rPr>
        <w:t>/</w:t>
      </w:r>
      <w:r>
        <w:rPr>
          <w:rFonts w:ascii="Times New Roman" w:hAnsi="Times New Roman"/>
          <w:color w:val="333333"/>
          <w:kern w:val="0"/>
          <w:sz w:val="24"/>
          <w:shd w:val="clear" w:color="auto" w:fill="FFFFFF"/>
        </w:rPr>
        <w:t>光电材料与技术国家重点实验室教授、博导，担任</w:t>
      </w:r>
      <w:r>
        <w:rPr>
          <w:rFonts w:ascii="Times New Roman" w:hAnsi="Times New Roman" w:hint="eastAsia"/>
          <w:color w:val="333333"/>
          <w:kern w:val="0"/>
          <w:sz w:val="24"/>
          <w:shd w:val="clear" w:color="auto" w:fill="FFFFFF"/>
        </w:rPr>
        <w:t xml:space="preserve">SID2025 </w:t>
      </w:r>
      <w:r>
        <w:rPr>
          <w:rFonts w:ascii="Times New Roman" w:hAnsi="Times New Roman"/>
          <w:color w:val="333333"/>
          <w:kern w:val="0"/>
          <w:sz w:val="24"/>
          <w:shd w:val="clear" w:color="auto" w:fill="FFFFFF"/>
        </w:rPr>
        <w:t>国际信息显示学会美国总会</w:t>
      </w:r>
      <w:r>
        <w:rPr>
          <w:rFonts w:ascii="Times New Roman" w:hAnsi="Times New Roman" w:hint="eastAsia"/>
          <w:color w:val="333333"/>
          <w:kern w:val="0"/>
          <w:sz w:val="24"/>
          <w:shd w:val="clear" w:color="auto" w:fill="FFFFFF"/>
        </w:rPr>
        <w:t>大会总主席</w:t>
      </w:r>
      <w:r>
        <w:rPr>
          <w:rFonts w:ascii="Times New Roman" w:hAnsi="Times New Roman" w:hint="eastAsia"/>
          <w:color w:val="333333"/>
          <w:kern w:val="0"/>
          <w:sz w:val="24"/>
          <w:shd w:val="clear" w:color="auto" w:fill="FFFFFF"/>
        </w:rPr>
        <w:t>(General Chair</w:t>
      </w:r>
      <w:r>
        <w:rPr>
          <w:rFonts w:ascii="Times New Roman" w:hAnsi="Times New Roman" w:hint="eastAsia"/>
          <w:color w:val="333333"/>
          <w:kern w:val="0"/>
          <w:sz w:val="24"/>
          <w:shd w:val="clear" w:color="auto" w:fill="FFFFFF"/>
        </w:rPr>
        <w:t>）</w:t>
      </w:r>
      <w:r>
        <w:rPr>
          <w:rFonts w:ascii="Times New Roman" w:hAnsi="Times New Roman"/>
          <w:color w:val="333333"/>
          <w:kern w:val="0"/>
          <w:sz w:val="24"/>
          <w:shd w:val="clear" w:color="auto" w:fill="FFFFFF"/>
        </w:rPr>
        <w:t>、</w:t>
      </w:r>
      <w:r>
        <w:rPr>
          <w:rFonts w:ascii="Times New Roman" w:hAnsi="Times New Roman"/>
          <w:color w:val="333333"/>
          <w:kern w:val="0"/>
          <w:sz w:val="24"/>
          <w:shd w:val="clear" w:color="auto" w:fill="FFFFFF"/>
        </w:rPr>
        <w:t>SID 2023</w:t>
      </w:r>
      <w:r>
        <w:rPr>
          <w:rFonts w:ascii="Times New Roman" w:hAnsi="Times New Roman"/>
          <w:color w:val="333333"/>
          <w:kern w:val="0"/>
          <w:sz w:val="24"/>
          <w:shd w:val="clear" w:color="auto" w:fill="FFFFFF"/>
        </w:rPr>
        <w:t>议程主席</w:t>
      </w:r>
      <w:r>
        <w:rPr>
          <w:rFonts w:ascii="Times New Roman" w:hAnsi="Times New Roman" w:hint="eastAsia"/>
          <w:color w:val="333333"/>
          <w:kern w:val="0"/>
          <w:sz w:val="24"/>
          <w:shd w:val="clear" w:color="auto" w:fill="FFFFFF"/>
        </w:rPr>
        <w:t>(Program Chair)</w:t>
      </w:r>
      <w:r>
        <w:rPr>
          <w:rFonts w:ascii="Times New Roman" w:hAnsi="Times New Roman"/>
          <w:color w:val="333333"/>
          <w:kern w:val="0"/>
          <w:sz w:val="24"/>
          <w:shd w:val="clear" w:color="auto" w:fill="FFFFFF"/>
        </w:rPr>
        <w:t>、中国</w:t>
      </w:r>
      <w:r>
        <w:rPr>
          <w:rFonts w:ascii="Times New Roman" w:hAnsi="Times New Roman"/>
          <w:color w:val="333333"/>
          <w:kern w:val="0"/>
          <w:sz w:val="24"/>
          <w:shd w:val="clear" w:color="auto" w:fill="FFFFFF"/>
        </w:rPr>
        <w:t>ICDT 2020</w:t>
      </w:r>
      <w:r>
        <w:rPr>
          <w:rFonts w:ascii="Times New Roman" w:hAnsi="Times New Roman"/>
          <w:color w:val="333333"/>
          <w:kern w:val="0"/>
          <w:sz w:val="24"/>
          <w:shd w:val="clear" w:color="auto" w:fill="FFFFFF"/>
        </w:rPr>
        <w:t>国际显示技术大会程序委员会主席、</w:t>
      </w:r>
      <w:r>
        <w:rPr>
          <w:rFonts w:ascii="Times New Roman" w:hAnsi="Times New Roman"/>
          <w:color w:val="333333"/>
          <w:kern w:val="0"/>
          <w:sz w:val="24"/>
          <w:shd w:val="clear" w:color="auto" w:fill="FFFFFF"/>
        </w:rPr>
        <w:t>SID 2017</w:t>
      </w:r>
      <w:r>
        <w:rPr>
          <w:rFonts w:ascii="Times New Roman" w:hAnsi="Times New Roman"/>
          <w:color w:val="333333"/>
          <w:kern w:val="0"/>
          <w:sz w:val="24"/>
          <w:shd w:val="clear" w:color="auto" w:fill="FFFFFF"/>
        </w:rPr>
        <w:t>国际信息显示学会柔性显示专业委员会主席、</w:t>
      </w:r>
      <w:r>
        <w:rPr>
          <w:rFonts w:ascii="Times New Roman" w:hAnsi="Times New Roman"/>
          <w:color w:val="333333"/>
          <w:kern w:val="0"/>
          <w:sz w:val="24"/>
          <w:shd w:val="clear" w:color="auto" w:fill="FFFFFF"/>
        </w:rPr>
        <w:t>IDW</w:t>
      </w:r>
      <w:r>
        <w:rPr>
          <w:rFonts w:ascii="Times New Roman" w:hAnsi="Times New Roman"/>
          <w:color w:val="333333"/>
          <w:kern w:val="0"/>
          <w:sz w:val="24"/>
          <w:shd w:val="clear" w:color="auto" w:fill="FFFFFF"/>
        </w:rPr>
        <w:t>日本显示学会</w:t>
      </w:r>
      <w:r>
        <w:rPr>
          <w:rFonts w:ascii="Times New Roman" w:hAnsi="Times New Roman"/>
          <w:color w:val="333333"/>
          <w:kern w:val="0"/>
          <w:sz w:val="24"/>
          <w:shd w:val="clear" w:color="auto" w:fill="FFFFFF"/>
        </w:rPr>
        <w:t>Oversea Advisory Board</w:t>
      </w:r>
      <w:r>
        <w:rPr>
          <w:rFonts w:ascii="Times New Roman" w:hAnsi="Times New Roman"/>
          <w:color w:val="333333"/>
          <w:kern w:val="0"/>
          <w:sz w:val="24"/>
          <w:shd w:val="clear" w:color="auto" w:fill="FFFFFF"/>
        </w:rPr>
        <w:t>成员、</w:t>
      </w:r>
      <w:r>
        <w:rPr>
          <w:rFonts w:ascii="Times New Roman" w:hAnsi="Times New Roman"/>
          <w:color w:val="333333"/>
          <w:kern w:val="0"/>
          <w:sz w:val="24"/>
          <w:shd w:val="clear" w:color="auto" w:fill="FFFFFF"/>
        </w:rPr>
        <w:t>IMID</w:t>
      </w:r>
      <w:r>
        <w:rPr>
          <w:rFonts w:ascii="Times New Roman" w:hAnsi="Times New Roman"/>
          <w:color w:val="333333"/>
          <w:kern w:val="0"/>
          <w:sz w:val="24"/>
          <w:shd w:val="clear" w:color="auto" w:fill="FFFFFF"/>
        </w:rPr>
        <w:t>韩国显示学会技术委员、</w:t>
      </w:r>
      <w:r>
        <w:rPr>
          <w:rFonts w:ascii="Times New Roman" w:hAnsi="Times New Roman"/>
          <w:color w:val="333333"/>
          <w:kern w:val="0"/>
          <w:sz w:val="24"/>
          <w:shd w:val="clear" w:color="auto" w:fill="FFFFFF"/>
        </w:rPr>
        <w:t>JSID</w:t>
      </w:r>
      <w:r>
        <w:rPr>
          <w:rFonts w:ascii="Times New Roman" w:hAnsi="Times New Roman"/>
          <w:color w:val="333333"/>
          <w:kern w:val="0"/>
          <w:sz w:val="24"/>
          <w:shd w:val="clear" w:color="auto" w:fill="FFFFFF"/>
        </w:rPr>
        <w:t>期刊副主编等多个重要学术职务。曾获国际信息显示学会总会</w:t>
      </w:r>
      <w:r>
        <w:rPr>
          <w:rFonts w:ascii="Times New Roman" w:hAnsi="Times New Roman"/>
          <w:color w:val="333333"/>
          <w:kern w:val="0"/>
          <w:sz w:val="24"/>
          <w:shd w:val="clear" w:color="auto" w:fill="FFFFFF"/>
        </w:rPr>
        <w:t>SID 2023</w:t>
      </w:r>
      <w:r>
        <w:rPr>
          <w:rFonts w:ascii="Times New Roman" w:hAnsi="Times New Roman"/>
          <w:color w:val="333333"/>
          <w:kern w:val="0"/>
          <w:sz w:val="24"/>
          <w:shd w:val="clear" w:color="auto" w:fill="FFFFFF"/>
        </w:rPr>
        <w:t>特殊贡献奖</w:t>
      </w:r>
      <w:r>
        <w:rPr>
          <w:rFonts w:ascii="Times New Roman" w:hAnsi="Times New Roman"/>
          <w:color w:val="333333"/>
          <w:kern w:val="0"/>
          <w:sz w:val="24"/>
          <w:shd w:val="clear" w:color="auto" w:fill="FFFFFF"/>
        </w:rPr>
        <w:t xml:space="preserve"> (Special Recognition Award)</w:t>
      </w:r>
      <w:r>
        <w:rPr>
          <w:rFonts w:ascii="Times New Roman" w:hAnsi="Times New Roman"/>
          <w:color w:val="333333"/>
          <w:kern w:val="0"/>
          <w:sz w:val="24"/>
          <w:shd w:val="clear" w:color="auto" w:fill="FFFFFF"/>
        </w:rPr>
        <w:t>、国际信息显示学会总会</w:t>
      </w:r>
      <w:r>
        <w:rPr>
          <w:rFonts w:ascii="Times New Roman" w:hAnsi="Times New Roman"/>
          <w:color w:val="333333"/>
          <w:kern w:val="0"/>
          <w:sz w:val="24"/>
          <w:shd w:val="clear" w:color="auto" w:fill="FFFFFF"/>
        </w:rPr>
        <w:t>SID 2021</w:t>
      </w:r>
      <w:r>
        <w:rPr>
          <w:rFonts w:ascii="Times New Roman" w:hAnsi="Times New Roman" w:hint="eastAsia"/>
          <w:color w:val="333333"/>
          <w:kern w:val="0"/>
          <w:sz w:val="24"/>
          <w:shd w:val="clear" w:color="auto" w:fill="FFFFFF"/>
        </w:rPr>
        <w:t>总裁表彰奖</w:t>
      </w:r>
      <w:r>
        <w:rPr>
          <w:rFonts w:ascii="Times New Roman" w:hAnsi="Times New Roman"/>
          <w:color w:val="333333"/>
          <w:kern w:val="0"/>
          <w:sz w:val="24"/>
          <w:shd w:val="clear" w:color="auto" w:fill="FFFFFF"/>
        </w:rPr>
        <w:t xml:space="preserve"> (President Citation)</w:t>
      </w:r>
      <w:r>
        <w:rPr>
          <w:rFonts w:ascii="Times New Roman" w:hAnsi="Times New Roman"/>
          <w:color w:val="333333"/>
          <w:kern w:val="0"/>
          <w:sz w:val="24"/>
          <w:shd w:val="clear" w:color="auto" w:fill="FFFFFF"/>
        </w:rPr>
        <w:t>以及国际信息显示学会北京分会</w:t>
      </w:r>
      <w:r>
        <w:rPr>
          <w:rFonts w:ascii="Times New Roman" w:hAnsi="Times New Roman"/>
          <w:color w:val="333333"/>
          <w:kern w:val="0"/>
          <w:sz w:val="24"/>
          <w:shd w:val="clear" w:color="auto" w:fill="FFFFFF"/>
        </w:rPr>
        <w:t>SID 2021</w:t>
      </w:r>
      <w:r>
        <w:rPr>
          <w:rFonts w:ascii="Times New Roman" w:hAnsi="Times New Roman"/>
          <w:color w:val="333333"/>
          <w:kern w:val="0"/>
          <w:sz w:val="24"/>
          <w:shd w:val="clear" w:color="auto" w:fill="FFFFFF"/>
        </w:rPr>
        <w:t>、</w:t>
      </w:r>
      <w:r>
        <w:rPr>
          <w:rFonts w:ascii="Times New Roman" w:hAnsi="Times New Roman"/>
          <w:color w:val="333333"/>
          <w:kern w:val="0"/>
          <w:sz w:val="24"/>
          <w:shd w:val="clear" w:color="auto" w:fill="FFFFFF"/>
        </w:rPr>
        <w:t>2022</w:t>
      </w:r>
      <w:r>
        <w:rPr>
          <w:rFonts w:ascii="Times New Roman" w:hAnsi="Times New Roman"/>
          <w:color w:val="333333"/>
          <w:kern w:val="0"/>
          <w:sz w:val="24"/>
          <w:shd w:val="clear" w:color="auto" w:fill="FFFFFF"/>
        </w:rPr>
        <w:t>特殊贡献奖、国际信息显示学会总会</w:t>
      </w:r>
      <w:r>
        <w:rPr>
          <w:rFonts w:ascii="Times New Roman" w:hAnsi="Times New Roman"/>
          <w:color w:val="333333"/>
          <w:kern w:val="0"/>
          <w:sz w:val="24"/>
          <w:shd w:val="clear" w:color="auto" w:fill="FFFFFF"/>
        </w:rPr>
        <w:t>SID 2022</w:t>
      </w:r>
      <w:r>
        <w:rPr>
          <w:rFonts w:ascii="Times New Roman" w:hAnsi="Times New Roman"/>
          <w:color w:val="333333"/>
          <w:kern w:val="0"/>
          <w:sz w:val="24"/>
          <w:shd w:val="clear" w:color="auto" w:fill="FFFFFF"/>
        </w:rPr>
        <w:t>、</w:t>
      </w:r>
      <w:r>
        <w:rPr>
          <w:rFonts w:ascii="Times New Roman" w:hAnsi="Times New Roman"/>
          <w:color w:val="333333"/>
          <w:kern w:val="0"/>
          <w:sz w:val="24"/>
          <w:shd w:val="clear" w:color="auto" w:fill="FFFFFF"/>
        </w:rPr>
        <w:t>2016</w:t>
      </w:r>
      <w:r>
        <w:rPr>
          <w:rFonts w:ascii="Times New Roman" w:hAnsi="Times New Roman"/>
          <w:color w:val="333333"/>
          <w:kern w:val="0"/>
          <w:sz w:val="24"/>
          <w:shd w:val="clear" w:color="auto" w:fill="FFFFFF"/>
        </w:rPr>
        <w:t>最佳论文奖</w:t>
      </w:r>
      <w:r>
        <w:rPr>
          <w:rFonts w:ascii="Times New Roman" w:hAnsi="Times New Roman"/>
          <w:color w:val="333333"/>
          <w:kern w:val="0"/>
          <w:sz w:val="24"/>
          <w:shd w:val="clear" w:color="auto" w:fill="FFFFFF"/>
        </w:rPr>
        <w:t xml:space="preserve"> (Distinguished Paper Award)</w:t>
      </w:r>
      <w:r>
        <w:rPr>
          <w:rFonts w:ascii="Times New Roman" w:hAnsi="Times New Roman"/>
          <w:color w:val="333333"/>
          <w:kern w:val="0"/>
          <w:sz w:val="24"/>
          <w:shd w:val="clear" w:color="auto" w:fill="FFFFFF"/>
        </w:rPr>
        <w:t>、日本显示学会</w:t>
      </w:r>
      <w:r>
        <w:rPr>
          <w:rFonts w:ascii="Times New Roman" w:hAnsi="Times New Roman"/>
          <w:color w:val="333333"/>
          <w:kern w:val="0"/>
          <w:sz w:val="24"/>
          <w:shd w:val="clear" w:color="auto" w:fill="FFFFFF"/>
        </w:rPr>
        <w:t>IDW 2019</w:t>
      </w:r>
      <w:r>
        <w:rPr>
          <w:rFonts w:ascii="Times New Roman" w:hAnsi="Times New Roman"/>
          <w:color w:val="333333"/>
          <w:kern w:val="0"/>
          <w:sz w:val="24"/>
          <w:shd w:val="clear" w:color="auto" w:fill="FFFFFF"/>
        </w:rPr>
        <w:t>最佳论文奖</w:t>
      </w:r>
      <w:r>
        <w:rPr>
          <w:rFonts w:ascii="Times New Roman" w:hAnsi="Times New Roman"/>
          <w:color w:val="333333"/>
          <w:kern w:val="0"/>
          <w:sz w:val="24"/>
          <w:shd w:val="clear" w:color="auto" w:fill="FFFFFF"/>
        </w:rPr>
        <w:t xml:space="preserve"> (Best of IDW)</w:t>
      </w:r>
      <w:r>
        <w:rPr>
          <w:rFonts w:ascii="Times New Roman" w:hAnsi="Times New Roman"/>
          <w:color w:val="333333"/>
          <w:kern w:val="0"/>
          <w:sz w:val="24"/>
          <w:shd w:val="clear" w:color="auto" w:fill="FFFFFF"/>
        </w:rPr>
        <w:t>等奖项。杨柏儒教授长期从事光电显示研究，在柔性显示与电子纸的研发成果已经进入产品化。目前他已经</w:t>
      </w:r>
      <w:r>
        <w:rPr>
          <w:rFonts w:ascii="Times New Roman" w:hAnsi="Times New Roman" w:hint="eastAsia"/>
          <w:color w:val="333333"/>
          <w:kern w:val="0"/>
          <w:sz w:val="24"/>
          <w:shd w:val="clear" w:color="auto" w:fill="FFFFFF"/>
        </w:rPr>
        <w:t>在</w:t>
      </w:r>
      <w:r>
        <w:rPr>
          <w:rFonts w:ascii="Times New Roman" w:hAnsi="Times New Roman" w:hint="eastAsia"/>
          <w:color w:val="333333"/>
          <w:kern w:val="0"/>
          <w:sz w:val="24"/>
          <w:shd w:val="clear" w:color="auto" w:fill="FFFFFF"/>
        </w:rPr>
        <w:t>Light: Science &amp; Application</w:t>
      </w:r>
      <w:r>
        <w:rPr>
          <w:rFonts w:ascii="Times New Roman" w:hAnsi="Times New Roman" w:hint="eastAsia"/>
          <w:color w:val="333333"/>
          <w:kern w:val="0"/>
          <w:sz w:val="24"/>
          <w:shd w:val="clear" w:color="auto" w:fill="FFFFFF"/>
        </w:rPr>
        <w:t>等国际著名期刊</w:t>
      </w:r>
      <w:r>
        <w:rPr>
          <w:rFonts w:ascii="Times New Roman" w:hAnsi="Times New Roman"/>
          <w:color w:val="333333"/>
          <w:kern w:val="0"/>
          <w:sz w:val="24"/>
          <w:shd w:val="clear" w:color="auto" w:fill="FFFFFF"/>
        </w:rPr>
        <w:t>发表</w:t>
      </w:r>
      <w:r>
        <w:rPr>
          <w:rFonts w:ascii="Times New Roman" w:hAnsi="Times New Roman"/>
          <w:color w:val="333333"/>
          <w:kern w:val="0"/>
          <w:sz w:val="24"/>
          <w:shd w:val="clear" w:color="auto" w:fill="FFFFFF"/>
        </w:rPr>
        <w:t>SCI/</w:t>
      </w:r>
      <w:r>
        <w:rPr>
          <w:rFonts w:ascii="Times New Roman" w:hAnsi="Times New Roman"/>
          <w:color w:val="333333"/>
          <w:kern w:val="0"/>
          <w:sz w:val="24"/>
          <w:shd w:val="clear" w:color="auto" w:fill="FFFFFF"/>
        </w:rPr>
        <w:t>会议论文</w:t>
      </w:r>
      <w:r>
        <w:rPr>
          <w:rFonts w:ascii="Times New Roman" w:hAnsi="Times New Roman"/>
          <w:color w:val="333333"/>
          <w:kern w:val="0"/>
          <w:sz w:val="24"/>
          <w:shd w:val="clear" w:color="auto" w:fill="FFFFFF"/>
        </w:rPr>
        <w:t>100</w:t>
      </w:r>
      <w:r>
        <w:rPr>
          <w:rFonts w:ascii="Times New Roman" w:hAnsi="Times New Roman"/>
          <w:color w:val="333333"/>
          <w:kern w:val="0"/>
          <w:sz w:val="24"/>
          <w:shd w:val="clear" w:color="auto" w:fill="FFFFFF"/>
        </w:rPr>
        <w:t>余篇，获国内外授权专利</w:t>
      </w:r>
      <w:r>
        <w:rPr>
          <w:rFonts w:ascii="Times New Roman" w:hAnsi="Times New Roman"/>
          <w:color w:val="333333"/>
          <w:kern w:val="0"/>
          <w:sz w:val="24"/>
          <w:shd w:val="clear" w:color="auto" w:fill="FFFFFF"/>
        </w:rPr>
        <w:t>40</w:t>
      </w:r>
      <w:r>
        <w:rPr>
          <w:rFonts w:ascii="Times New Roman" w:hAnsi="Times New Roman"/>
          <w:color w:val="333333"/>
          <w:kern w:val="0"/>
          <w:sz w:val="24"/>
          <w:shd w:val="clear" w:color="auto" w:fill="FFFFFF"/>
        </w:rPr>
        <w:t>余项，主持</w:t>
      </w:r>
      <w:r>
        <w:rPr>
          <w:rFonts w:ascii="Times New Roman" w:hAnsi="Times New Roman"/>
          <w:color w:val="333333"/>
          <w:kern w:val="0"/>
          <w:sz w:val="24"/>
          <w:shd w:val="clear" w:color="auto" w:fill="FFFFFF"/>
        </w:rPr>
        <w:t>863</w:t>
      </w:r>
      <w:r>
        <w:rPr>
          <w:rFonts w:ascii="Times New Roman" w:hAnsi="Times New Roman"/>
          <w:color w:val="333333"/>
          <w:kern w:val="0"/>
          <w:sz w:val="24"/>
          <w:shd w:val="clear" w:color="auto" w:fill="FFFFFF"/>
        </w:rPr>
        <w:t>计划等国家级课题</w:t>
      </w:r>
      <w:r>
        <w:rPr>
          <w:rFonts w:ascii="Times New Roman" w:hAnsi="Times New Roman"/>
          <w:color w:val="333333"/>
          <w:kern w:val="0"/>
          <w:sz w:val="24"/>
          <w:shd w:val="clear" w:color="auto" w:fill="FFFFFF"/>
        </w:rPr>
        <w:t>/</w:t>
      </w:r>
      <w:r>
        <w:rPr>
          <w:rFonts w:ascii="Times New Roman" w:hAnsi="Times New Roman"/>
          <w:color w:val="333333"/>
          <w:kern w:val="0"/>
          <w:sz w:val="24"/>
          <w:shd w:val="clear" w:color="auto" w:fill="FFFFFF"/>
        </w:rPr>
        <w:t>项目</w:t>
      </w:r>
      <w:r>
        <w:rPr>
          <w:rFonts w:ascii="Times New Roman" w:hAnsi="Times New Roman"/>
          <w:color w:val="333333"/>
          <w:kern w:val="0"/>
          <w:sz w:val="24"/>
          <w:shd w:val="clear" w:color="auto" w:fill="FFFFFF"/>
        </w:rPr>
        <w:t>3</w:t>
      </w:r>
      <w:r>
        <w:rPr>
          <w:rFonts w:ascii="Times New Roman" w:hAnsi="Times New Roman"/>
          <w:color w:val="333333"/>
          <w:kern w:val="0"/>
          <w:sz w:val="24"/>
          <w:shd w:val="clear" w:color="auto" w:fill="FFFFFF"/>
        </w:rPr>
        <w:t>项，并主编出版</w:t>
      </w:r>
      <w:r>
        <w:rPr>
          <w:rFonts w:ascii="Times New Roman" w:hAnsi="Times New Roman"/>
          <w:color w:val="333333"/>
          <w:kern w:val="0"/>
          <w:sz w:val="24"/>
          <w:shd w:val="clear" w:color="auto" w:fill="FFFFFF"/>
        </w:rPr>
        <w:t>Wiley</w:t>
      </w:r>
      <w:r>
        <w:rPr>
          <w:rFonts w:ascii="Times New Roman" w:hAnsi="Times New Roman"/>
          <w:color w:val="333333"/>
          <w:kern w:val="0"/>
          <w:sz w:val="24"/>
          <w:shd w:val="clear" w:color="auto" w:fill="FFFFFF"/>
        </w:rPr>
        <w:t>显示</w:t>
      </w:r>
      <w:r>
        <w:rPr>
          <w:rFonts w:ascii="Times New Roman" w:hAnsi="Times New Roman" w:hint="eastAsia"/>
          <w:color w:val="333333"/>
          <w:kern w:val="0"/>
          <w:sz w:val="24"/>
          <w:shd w:val="clear" w:color="auto" w:fill="FFFFFF"/>
        </w:rPr>
        <w:t>技术丛书《</w:t>
      </w:r>
      <w:r>
        <w:rPr>
          <w:rFonts w:ascii="Times New Roman" w:hAnsi="Times New Roman"/>
          <w:color w:val="333333"/>
          <w:kern w:val="0"/>
          <w:sz w:val="24"/>
          <w:shd w:val="clear" w:color="auto" w:fill="FFFFFF"/>
        </w:rPr>
        <w:t>E-Paper Displays</w:t>
      </w:r>
      <w:r>
        <w:rPr>
          <w:rFonts w:ascii="Times New Roman" w:hAnsi="Times New Roman"/>
          <w:color w:val="333333"/>
          <w:kern w:val="0"/>
          <w:sz w:val="24"/>
          <w:shd w:val="clear" w:color="auto" w:fill="FFFFFF"/>
        </w:rPr>
        <w:t>》、科技类教材《可穿戴光电显示科技》等显示技术专著。</w:t>
      </w:r>
    </w:p>
    <w:p w14:paraId="52AEB8EF" w14:textId="77777777" w:rsidR="001E2731" w:rsidRDefault="00000000">
      <w:pPr>
        <w:widowControl/>
        <w:spacing w:afterLines="100" w:after="312" w:line="440" w:lineRule="exact"/>
        <w:ind w:firstLineChars="200" w:firstLine="480"/>
        <w:jc w:val="left"/>
        <w:rPr>
          <w:rFonts w:ascii="Times New Roman" w:hAnsi="Times New Roman"/>
          <w:color w:val="333333"/>
          <w:kern w:val="0"/>
          <w:sz w:val="24"/>
          <w:shd w:val="clear" w:color="auto" w:fill="FFFFFF"/>
        </w:rPr>
      </w:pPr>
      <w:r>
        <w:rPr>
          <w:rFonts w:ascii="Times New Roman" w:hAnsi="Times New Roman"/>
          <w:color w:val="333333"/>
          <w:kern w:val="0"/>
          <w:sz w:val="24"/>
          <w:shd w:val="clear" w:color="auto" w:fill="FFFFFF"/>
        </w:rPr>
        <w:t>Email</w:t>
      </w:r>
      <w:r>
        <w:rPr>
          <w:rFonts w:ascii="Times New Roman" w:hAnsi="Times New Roman"/>
          <w:color w:val="333333"/>
          <w:kern w:val="0"/>
          <w:sz w:val="24"/>
          <w:shd w:val="clear" w:color="auto" w:fill="FFFFFF"/>
        </w:rPr>
        <w:t>：</w:t>
      </w:r>
      <w:hyperlink r:id="rId12" w:history="1">
        <w:r>
          <w:rPr>
            <w:rStyle w:val="ae"/>
            <w:rFonts w:ascii="Times New Roman" w:hAnsi="Times New Roman"/>
            <w:kern w:val="0"/>
            <w:sz w:val="24"/>
            <w:shd w:val="clear" w:color="auto" w:fill="FFFFFF"/>
          </w:rPr>
          <w:t>yangboru@mail.sysu.edu.cn</w:t>
        </w:r>
      </w:hyperlink>
    </w:p>
    <w:p w14:paraId="36A0A7B3" w14:textId="77777777" w:rsidR="006552AA" w:rsidRDefault="006552AA" w:rsidP="006552AA">
      <w:pPr>
        <w:widowControl/>
        <w:shd w:val="clear" w:color="auto" w:fill="FFFFFF"/>
        <w:ind w:left="120" w:right="120"/>
        <w:rPr>
          <w:rStyle w:val="ae"/>
          <w:rFonts w:ascii="Times New Roman" w:eastAsia="宋体" w:hAnsi="Times New Roman" w:cs="Times New Roman"/>
          <w:spacing w:val="1"/>
          <w:kern w:val="0"/>
          <w:sz w:val="23"/>
          <w:szCs w:val="23"/>
        </w:rPr>
      </w:pPr>
      <w:r>
        <w:rPr>
          <w:rStyle w:val="fontstyle01"/>
          <w:rFonts w:hint="default"/>
        </w:rPr>
        <w:t>原文链接：</w:t>
      </w:r>
      <w:r>
        <w:rPr>
          <w:rFonts w:ascii="Times New Roman" w:eastAsia="宋体" w:hAnsi="Times New Roman" w:cs="Times New Roman"/>
          <w:color w:val="000000"/>
          <w:spacing w:val="1"/>
          <w:kern w:val="0"/>
          <w:sz w:val="23"/>
          <w:szCs w:val="23"/>
        </w:rPr>
        <w:t xml:space="preserve"> </w:t>
      </w:r>
      <w:hyperlink r:id="rId13" w:history="1">
        <w:r>
          <w:rPr>
            <w:rStyle w:val="ae"/>
            <w:rFonts w:ascii="Times New Roman" w:eastAsia="宋体" w:hAnsi="Times New Roman" w:cs="Times New Roman"/>
            <w:spacing w:val="1"/>
            <w:kern w:val="0"/>
            <w:sz w:val="23"/>
            <w:szCs w:val="23"/>
          </w:rPr>
          <w:t>https://doi.org/10.1038/s41377-024-01526-x</w:t>
        </w:r>
      </w:hyperlink>
    </w:p>
    <w:p w14:paraId="69ED9933" w14:textId="77777777" w:rsidR="001E2731" w:rsidRPr="005968A1" w:rsidRDefault="001E2731">
      <w:pPr>
        <w:widowControl/>
        <w:shd w:val="clear" w:color="auto" w:fill="FFFFFF"/>
        <w:ind w:left="120" w:right="120"/>
        <w:rPr>
          <w:rFonts w:ascii="Times New Roman" w:eastAsia="宋体" w:hAnsi="Times New Roman" w:cs="Times New Roman"/>
          <w:color w:val="000000"/>
          <w:spacing w:val="1"/>
          <w:kern w:val="0"/>
          <w:sz w:val="23"/>
          <w:szCs w:val="23"/>
        </w:rPr>
      </w:pPr>
    </w:p>
    <w:sectPr w:rsidR="001E2731" w:rsidRPr="005968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5320" w14:textId="77777777" w:rsidR="00846AA7" w:rsidRDefault="00846AA7" w:rsidP="006552AA">
      <w:r>
        <w:separator/>
      </w:r>
    </w:p>
  </w:endnote>
  <w:endnote w:type="continuationSeparator" w:id="0">
    <w:p w14:paraId="1C30616D" w14:textId="77777777" w:rsidR="00846AA7" w:rsidRDefault="00846AA7" w:rsidP="0065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FF9E" w14:textId="77777777" w:rsidR="00846AA7" w:rsidRDefault="00846AA7" w:rsidP="006552AA">
      <w:r>
        <w:separator/>
      </w:r>
    </w:p>
  </w:footnote>
  <w:footnote w:type="continuationSeparator" w:id="0">
    <w:p w14:paraId="58096460" w14:textId="77777777" w:rsidR="00846AA7" w:rsidRDefault="00846AA7" w:rsidP="00655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698"/>
    <w:multiLevelType w:val="multilevel"/>
    <w:tmpl w:val="0A3F3698"/>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163619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S3NDQwMzY1NzcyMjVU0lEKTi0uzszPAykwrgUAaMx69SwAAAA="/>
    <w:docVar w:name="commondata" w:val="eyJoZGlkIjoiNThiODE0MzQ5YWNhMWE0YzZkNGRjZDZlMjhkNWQ2ZDcifQ=="/>
  </w:docVars>
  <w:rsids>
    <w:rsidRoot w:val="00595244"/>
    <w:rsid w:val="00010DDA"/>
    <w:rsid w:val="00033236"/>
    <w:rsid w:val="00081C91"/>
    <w:rsid w:val="00096CDC"/>
    <w:rsid w:val="00100920"/>
    <w:rsid w:val="00134878"/>
    <w:rsid w:val="001375A2"/>
    <w:rsid w:val="0015511B"/>
    <w:rsid w:val="001731E8"/>
    <w:rsid w:val="00190D1A"/>
    <w:rsid w:val="00197D92"/>
    <w:rsid w:val="001B25A6"/>
    <w:rsid w:val="001C68DA"/>
    <w:rsid w:val="001D60C4"/>
    <w:rsid w:val="001E2731"/>
    <w:rsid w:val="001E2EFF"/>
    <w:rsid w:val="001E70A5"/>
    <w:rsid w:val="001F063D"/>
    <w:rsid w:val="00230260"/>
    <w:rsid w:val="0027086D"/>
    <w:rsid w:val="00284D85"/>
    <w:rsid w:val="002A7EC5"/>
    <w:rsid w:val="002E5DA5"/>
    <w:rsid w:val="002F746F"/>
    <w:rsid w:val="00301BE6"/>
    <w:rsid w:val="00304730"/>
    <w:rsid w:val="00323DD9"/>
    <w:rsid w:val="00374039"/>
    <w:rsid w:val="004676D3"/>
    <w:rsid w:val="0048708B"/>
    <w:rsid w:val="004B7398"/>
    <w:rsid w:val="004C4DB1"/>
    <w:rsid w:val="004D1A10"/>
    <w:rsid w:val="004D37DA"/>
    <w:rsid w:val="004F5E61"/>
    <w:rsid w:val="00553A53"/>
    <w:rsid w:val="00577A9F"/>
    <w:rsid w:val="00594416"/>
    <w:rsid w:val="00595244"/>
    <w:rsid w:val="005968A1"/>
    <w:rsid w:val="005E68AB"/>
    <w:rsid w:val="006146E7"/>
    <w:rsid w:val="006552AA"/>
    <w:rsid w:val="006568BA"/>
    <w:rsid w:val="00665F09"/>
    <w:rsid w:val="006C0542"/>
    <w:rsid w:val="006C2D97"/>
    <w:rsid w:val="006F13A5"/>
    <w:rsid w:val="007D3C01"/>
    <w:rsid w:val="007D603C"/>
    <w:rsid w:val="00833C1C"/>
    <w:rsid w:val="0084682A"/>
    <w:rsid w:val="00846AA7"/>
    <w:rsid w:val="00850EF2"/>
    <w:rsid w:val="00864F42"/>
    <w:rsid w:val="00886AA3"/>
    <w:rsid w:val="00897347"/>
    <w:rsid w:val="00906F8E"/>
    <w:rsid w:val="00932CBC"/>
    <w:rsid w:val="0098364D"/>
    <w:rsid w:val="009A73B0"/>
    <w:rsid w:val="009F5B9B"/>
    <w:rsid w:val="00A52220"/>
    <w:rsid w:val="00A83A41"/>
    <w:rsid w:val="00AC6A64"/>
    <w:rsid w:val="00AD757A"/>
    <w:rsid w:val="00B3311E"/>
    <w:rsid w:val="00B72193"/>
    <w:rsid w:val="00B81F31"/>
    <w:rsid w:val="00B8361B"/>
    <w:rsid w:val="00BD3A80"/>
    <w:rsid w:val="00C11F3B"/>
    <w:rsid w:val="00C41695"/>
    <w:rsid w:val="00C6525A"/>
    <w:rsid w:val="00CA466B"/>
    <w:rsid w:val="00CC5F00"/>
    <w:rsid w:val="00D04787"/>
    <w:rsid w:val="00D10757"/>
    <w:rsid w:val="00D55BBE"/>
    <w:rsid w:val="00D57F7E"/>
    <w:rsid w:val="00D8562C"/>
    <w:rsid w:val="00DA24FB"/>
    <w:rsid w:val="00E05B76"/>
    <w:rsid w:val="00E14F3A"/>
    <w:rsid w:val="00E32D34"/>
    <w:rsid w:val="00E77636"/>
    <w:rsid w:val="00E95892"/>
    <w:rsid w:val="00EC12E4"/>
    <w:rsid w:val="00EF4CC5"/>
    <w:rsid w:val="00F04E41"/>
    <w:rsid w:val="00F21F5C"/>
    <w:rsid w:val="00F304A9"/>
    <w:rsid w:val="00F96D8B"/>
    <w:rsid w:val="00FE3546"/>
    <w:rsid w:val="00FF4E84"/>
    <w:rsid w:val="00FF63F2"/>
    <w:rsid w:val="00FF7520"/>
    <w:rsid w:val="03AC415F"/>
    <w:rsid w:val="4D372C3B"/>
    <w:rsid w:val="52DA3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BBFD7"/>
  <w15:docId w15:val="{566D83D9-5B68-4631-9103-0670AD73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rPr>
      <w:b/>
      <w:bCs/>
    </w:rPr>
  </w:style>
  <w:style w:type="character" w:styleId="ac">
    <w:name w:val="Strong"/>
    <w:basedOn w:val="a0"/>
    <w:uiPriority w:val="22"/>
    <w:qFormat/>
    <w:rPr>
      <w:b/>
      <w:bCs/>
    </w:rPr>
  </w:style>
  <w:style w:type="character" w:styleId="ad">
    <w:name w:val="Emphasis"/>
    <w:basedOn w:val="a0"/>
    <w:uiPriority w:val="20"/>
    <w:qFormat/>
    <w:rPr>
      <w:i/>
      <w:iCs/>
    </w:rPr>
  </w:style>
  <w:style w:type="character" w:styleId="ae">
    <w:name w:val="Hyperlink"/>
    <w:basedOn w:val="a0"/>
    <w:uiPriority w:val="99"/>
    <w:unhideWhenUsed/>
    <w:qFormat/>
    <w:rPr>
      <w:color w:val="0000FF"/>
      <w:u w:val="single"/>
    </w:rPr>
  </w:style>
  <w:style w:type="character" w:styleId="af">
    <w:name w:val="annotation reference"/>
    <w:basedOn w:val="a0"/>
    <w:uiPriority w:val="99"/>
    <w:semiHidden/>
    <w:unhideWhenUsed/>
    <w:rPr>
      <w:sz w:val="21"/>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uiPriority w:val="9"/>
    <w:rPr>
      <w:rFonts w:ascii="宋体" w:eastAsia="宋体" w:hAnsi="宋体" w:cs="宋体"/>
      <w:b/>
      <w:bCs/>
      <w:kern w:val="36"/>
      <w:sz w:val="48"/>
      <w:szCs w:val="48"/>
    </w:rPr>
  </w:style>
  <w:style w:type="paragraph" w:styleId="af0">
    <w:name w:val="List Paragraph"/>
    <w:basedOn w:val="a"/>
    <w:uiPriority w:val="34"/>
    <w:qFormat/>
    <w:pPr>
      <w:ind w:firstLineChars="200" w:firstLine="420"/>
    </w:pPr>
  </w:style>
  <w:style w:type="character" w:customStyle="1" w:styleId="11">
    <w:name w:val="未处理的提及1"/>
    <w:basedOn w:val="a0"/>
    <w:uiPriority w:val="99"/>
    <w:semiHidden/>
    <w:unhideWhenUsed/>
    <w:rPr>
      <w:color w:val="605E5C"/>
      <w:shd w:val="clear" w:color="auto" w:fill="E1DFDD"/>
    </w:rPr>
  </w:style>
  <w:style w:type="character" w:customStyle="1" w:styleId="fontstyle01">
    <w:name w:val="fontstyle01"/>
    <w:basedOn w:val="a0"/>
    <w:rPr>
      <w:rFonts w:ascii="宋体" w:eastAsia="宋体" w:hAnsi="宋体" w:hint="eastAsia"/>
      <w:color w:val="000000"/>
      <w:sz w:val="24"/>
      <w:szCs w:val="24"/>
    </w:rPr>
  </w:style>
  <w:style w:type="paragraph" w:customStyle="1" w:styleId="12">
    <w:name w:val="修订1"/>
    <w:hidden/>
    <w:uiPriority w:val="99"/>
    <w:semiHidden/>
    <w:rPr>
      <w:kern w:val="2"/>
      <w:sz w:val="21"/>
      <w:szCs w:val="22"/>
    </w:rPr>
  </w:style>
  <w:style w:type="character" w:customStyle="1" w:styleId="a4">
    <w:name w:val="批注文字 字符"/>
    <w:basedOn w:val="a0"/>
    <w:link w:val="a3"/>
    <w:uiPriority w:val="99"/>
  </w:style>
  <w:style w:type="character" w:customStyle="1" w:styleId="ab">
    <w:name w:val="批注主题 字符"/>
    <w:basedOn w:val="a4"/>
    <w:link w:val="aa"/>
    <w:uiPriority w:val="99"/>
    <w:semiHidden/>
    <w:rPr>
      <w:b/>
      <w:bCs/>
    </w:rPr>
  </w:style>
  <w:style w:type="paragraph" w:styleId="af1">
    <w:name w:val="Revision"/>
    <w:hidden/>
    <w:uiPriority w:val="99"/>
    <w:unhideWhenUsed/>
    <w:rsid w:val="006552A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38/s41377-024-01526-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yangboru@mail.sysu.edu.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475</Words>
  <Characters>2709</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Flexible Display</dc:creator>
  <cp:lastModifiedBy>LRN</cp:lastModifiedBy>
  <cp:revision>15</cp:revision>
  <dcterms:created xsi:type="dcterms:W3CDTF">2024-09-26T02:25:00Z</dcterms:created>
  <dcterms:modified xsi:type="dcterms:W3CDTF">2024-09-30T05:48:00Z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6F375073CAB940DAA882CD46ACD9D904_12</vt:lpwstr>
  </property>
</Properties>
</file>